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35" w:rsidRDefault="00F73B35" w:rsidP="00F73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БАСТАНСКИЙ СЕЛЬСКИЙ СОВЕТ ДЕПУТАТОВ</w:t>
      </w:r>
    </w:p>
    <w:p w:rsidR="00F73B35" w:rsidRDefault="00F73B35" w:rsidP="00F73B35">
      <w:pPr>
        <w:tabs>
          <w:tab w:val="left" w:pos="1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РАЙОНА АЛТАЙСКОГО КРАЯ</w:t>
      </w:r>
    </w:p>
    <w:p w:rsidR="00F73B35" w:rsidRDefault="00F73B35" w:rsidP="00F73B35">
      <w:pPr>
        <w:tabs>
          <w:tab w:val="left" w:pos="1110"/>
        </w:tabs>
        <w:jc w:val="center"/>
        <w:rPr>
          <w:b/>
          <w:sz w:val="28"/>
          <w:szCs w:val="28"/>
        </w:rPr>
      </w:pPr>
    </w:p>
    <w:p w:rsidR="00F73B35" w:rsidRDefault="00F73B35" w:rsidP="00F73B35">
      <w:pPr>
        <w:tabs>
          <w:tab w:val="left" w:pos="1110"/>
        </w:tabs>
        <w:jc w:val="center"/>
        <w:rPr>
          <w:b/>
          <w:sz w:val="28"/>
          <w:szCs w:val="28"/>
        </w:rPr>
      </w:pPr>
    </w:p>
    <w:p w:rsidR="00F73B35" w:rsidRDefault="00F73B35" w:rsidP="00F73B35">
      <w:pPr>
        <w:tabs>
          <w:tab w:val="left" w:pos="111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F73B35" w:rsidRDefault="00F73B35" w:rsidP="00F73B35">
      <w:pPr>
        <w:jc w:val="center"/>
        <w:rPr>
          <w:sz w:val="28"/>
          <w:szCs w:val="28"/>
        </w:rPr>
      </w:pPr>
    </w:p>
    <w:p w:rsidR="00F73B35" w:rsidRDefault="000664C9" w:rsidP="00F73B35">
      <w:pPr>
        <w:jc w:val="center"/>
        <w:rPr>
          <w:sz w:val="24"/>
          <w:szCs w:val="24"/>
        </w:rPr>
      </w:pPr>
      <w:r>
        <w:rPr>
          <w:sz w:val="28"/>
          <w:szCs w:val="28"/>
        </w:rPr>
        <w:t>27</w:t>
      </w:r>
      <w:r w:rsidR="00F73B35">
        <w:rPr>
          <w:sz w:val="28"/>
          <w:szCs w:val="28"/>
        </w:rPr>
        <w:t xml:space="preserve">.04.2024                                                                                          №  </w:t>
      </w:r>
      <w:r>
        <w:rPr>
          <w:sz w:val="28"/>
          <w:szCs w:val="28"/>
        </w:rPr>
        <w:t>54</w:t>
      </w:r>
      <w:r w:rsidR="00F73B35">
        <w:t xml:space="preserve">                                                                                      </w:t>
      </w:r>
      <w:proofErr w:type="spellStart"/>
      <w:r w:rsidR="00F73B35">
        <w:t>с</w:t>
      </w:r>
      <w:proofErr w:type="gramStart"/>
      <w:r w:rsidR="00F73B35">
        <w:t>.Б</w:t>
      </w:r>
      <w:proofErr w:type="gramEnd"/>
      <w:r w:rsidR="00F73B35">
        <w:t>астан</w:t>
      </w:r>
      <w:proofErr w:type="spellEnd"/>
    </w:p>
    <w:p w:rsidR="00F73B35" w:rsidRDefault="00F73B35" w:rsidP="00F73B35">
      <w:pPr>
        <w:tabs>
          <w:tab w:val="left" w:pos="3480"/>
        </w:tabs>
      </w:pPr>
      <w:r>
        <w:tab/>
      </w:r>
    </w:p>
    <w:p w:rsidR="00F73B35" w:rsidRDefault="00F73B35" w:rsidP="00F73B35">
      <w:pPr>
        <w:tabs>
          <w:tab w:val="left" w:pos="3480"/>
        </w:tabs>
      </w:pPr>
    </w:p>
    <w:p w:rsidR="00F73B35" w:rsidRDefault="00F73B35" w:rsidP="00F73B35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F73B35" w:rsidRDefault="00F73B35" w:rsidP="00F73B35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F73B35" w:rsidRDefault="00F73B35" w:rsidP="00F73B35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Бастанский сельсовет Михайловского </w:t>
      </w:r>
    </w:p>
    <w:p w:rsidR="00F73B35" w:rsidRDefault="00F73B35" w:rsidP="00F73B35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района Алтайского края за 2023 год</w:t>
      </w:r>
    </w:p>
    <w:p w:rsidR="00F73B35" w:rsidRDefault="00F73B35" w:rsidP="00F73B35">
      <w:pPr>
        <w:tabs>
          <w:tab w:val="left" w:pos="3480"/>
        </w:tabs>
        <w:rPr>
          <w:sz w:val="26"/>
          <w:szCs w:val="26"/>
        </w:rPr>
      </w:pPr>
    </w:p>
    <w:p w:rsidR="00F73B35" w:rsidRDefault="00F73B35" w:rsidP="00F73B35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ст.21 Устава муниципального образования Бастанский сельский Совет депутатов </w:t>
      </w:r>
    </w:p>
    <w:p w:rsidR="00F73B35" w:rsidRDefault="00F73B35" w:rsidP="00F73B35">
      <w:pPr>
        <w:tabs>
          <w:tab w:val="left" w:pos="2235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ш и л:</w:t>
      </w:r>
    </w:p>
    <w:p w:rsidR="000A2B1A" w:rsidRDefault="00F73B35" w:rsidP="000A2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2B1A">
        <w:rPr>
          <w:sz w:val="28"/>
          <w:szCs w:val="28"/>
        </w:rPr>
        <w:t>Утвердить отчет об исполнении бюджета муниципального образования Бастанский  сельсовет за 2023 год по доходам в сумме 352</w:t>
      </w:r>
      <w:r w:rsidR="005A005A">
        <w:rPr>
          <w:sz w:val="28"/>
          <w:szCs w:val="28"/>
        </w:rPr>
        <w:t>8,12</w:t>
      </w:r>
      <w:r w:rsidR="000A2B1A">
        <w:rPr>
          <w:sz w:val="28"/>
          <w:szCs w:val="28"/>
        </w:rPr>
        <w:t xml:space="preserve"> тыс. рублей в том числе: налоговых и неналоговых доходов в сумме 1072,13 тыс. рублей, объемов межбюджетных трансфертов, получаемых из других бюджетов, в сумме 1612,51 тыс. рублей; субсидий бюджетам сельских поселений 843,</w:t>
      </w:r>
      <w:r w:rsidR="005A005A">
        <w:rPr>
          <w:sz w:val="28"/>
          <w:szCs w:val="28"/>
        </w:rPr>
        <w:t>4</w:t>
      </w:r>
      <w:r w:rsidR="000A2B1A">
        <w:rPr>
          <w:sz w:val="28"/>
          <w:szCs w:val="28"/>
        </w:rPr>
        <w:t xml:space="preserve">8тыс. руб. по расходам в сумме 3430,0 тыс. рублей, в результате решениями </w:t>
      </w:r>
      <w:r w:rsidR="005A005A">
        <w:rPr>
          <w:sz w:val="28"/>
          <w:szCs w:val="28"/>
        </w:rPr>
        <w:t>Бастан</w:t>
      </w:r>
      <w:r w:rsidR="000A2B1A">
        <w:rPr>
          <w:sz w:val="28"/>
          <w:szCs w:val="28"/>
        </w:rPr>
        <w:t xml:space="preserve">ского Сельсовета утвержден </w:t>
      </w:r>
      <w:proofErr w:type="spellStart"/>
      <w:r w:rsidR="005A005A">
        <w:rPr>
          <w:sz w:val="28"/>
          <w:szCs w:val="28"/>
        </w:rPr>
        <w:t>про</w:t>
      </w:r>
      <w:r w:rsidR="000A2B1A">
        <w:rPr>
          <w:sz w:val="28"/>
          <w:szCs w:val="28"/>
        </w:rPr>
        <w:t>фицит</w:t>
      </w:r>
      <w:proofErr w:type="spellEnd"/>
      <w:r w:rsidR="000A2B1A">
        <w:rPr>
          <w:sz w:val="28"/>
          <w:szCs w:val="28"/>
        </w:rPr>
        <w:t xml:space="preserve"> бюджета в сумме </w:t>
      </w:r>
      <w:r w:rsidR="005A005A">
        <w:rPr>
          <w:sz w:val="28"/>
          <w:szCs w:val="28"/>
        </w:rPr>
        <w:t>98,12</w:t>
      </w:r>
      <w:r w:rsidR="000A2B1A">
        <w:rPr>
          <w:sz w:val="28"/>
          <w:szCs w:val="28"/>
        </w:rPr>
        <w:t xml:space="preserve"> тыс. руб.</w:t>
      </w:r>
    </w:p>
    <w:p w:rsidR="000A2B1A" w:rsidRDefault="000A2B1A" w:rsidP="000A2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доходов бюджета за 2023 год согласно приложению 1 к настоящему решению;</w:t>
      </w:r>
    </w:p>
    <w:p w:rsidR="000A2B1A" w:rsidRDefault="000A2B1A" w:rsidP="000A2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расходов бюджета за 2023 год по ведомственной структуре расходов бюджета согласно приложению 2 к настоящему решению;</w:t>
      </w:r>
    </w:p>
    <w:p w:rsidR="000A2B1A" w:rsidRDefault="000A2B1A" w:rsidP="000A2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расходов бюджета за 2023 год по разделам и подразделам классификации расходов бюджетов согласно приложению 3 к настоящему решению;</w:t>
      </w:r>
    </w:p>
    <w:p w:rsidR="000A2B1A" w:rsidRDefault="000A2B1A" w:rsidP="000A2B1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источников финансирования дефицита бюджета за 2023 год по кодам классификации источников финансирования дефицитов бюджетов согласно приложению 4 к настоящему решению.</w:t>
      </w:r>
      <w:proofErr w:type="gramEnd"/>
    </w:p>
    <w:p w:rsidR="00F73B35" w:rsidRDefault="00F73B35" w:rsidP="00F73B35">
      <w:pPr>
        <w:rPr>
          <w:sz w:val="28"/>
          <w:szCs w:val="28"/>
        </w:rPr>
      </w:pPr>
    </w:p>
    <w:p w:rsidR="00F73B35" w:rsidRDefault="00F73B35" w:rsidP="00F73B35">
      <w:pPr>
        <w:rPr>
          <w:sz w:val="28"/>
          <w:szCs w:val="28"/>
        </w:rPr>
      </w:pPr>
    </w:p>
    <w:p w:rsidR="00F73B35" w:rsidRDefault="00F73B35" w:rsidP="00F73B35">
      <w:pPr>
        <w:rPr>
          <w:sz w:val="28"/>
          <w:szCs w:val="28"/>
        </w:rPr>
      </w:pPr>
    </w:p>
    <w:p w:rsidR="00F73B35" w:rsidRDefault="00F73B35" w:rsidP="00F73B35">
      <w:r>
        <w:rPr>
          <w:sz w:val="28"/>
          <w:szCs w:val="28"/>
        </w:rPr>
        <w:t xml:space="preserve">Глава Бастанского сельсовета                                                 М. В. </w:t>
      </w:r>
      <w:proofErr w:type="spellStart"/>
      <w:r>
        <w:rPr>
          <w:sz w:val="28"/>
          <w:szCs w:val="28"/>
        </w:rPr>
        <w:t>Кочуевский</w:t>
      </w:r>
      <w:proofErr w:type="spellEnd"/>
    </w:p>
    <w:p w:rsidR="00F73B35" w:rsidRDefault="00F73B35"/>
    <w:p w:rsidR="00F73B35" w:rsidRDefault="00F73B35"/>
    <w:p w:rsidR="00F73B35" w:rsidRDefault="00F73B35"/>
    <w:p w:rsidR="00F73B35" w:rsidRDefault="00F73B35"/>
    <w:p w:rsidR="00F73B35" w:rsidRDefault="00F73B35"/>
    <w:p w:rsidR="00F73B35" w:rsidRDefault="00F73B35"/>
    <w:p w:rsidR="00F73B35" w:rsidRDefault="00F73B35"/>
    <w:p w:rsidR="00F73B35" w:rsidRDefault="00F73B35"/>
    <w:p w:rsidR="00F73B35" w:rsidRDefault="00F73B35"/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624E76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624E76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624E76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rPr>
                      <w:color w:val="000000"/>
                    </w:rPr>
                  </w:pPr>
                </w:p>
              </w:tc>
            </w:tr>
            <w:tr w:rsidR="00624E76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624E76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624E76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624E76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24E76" w:rsidRDefault="002F2BDB" w:rsidP="00EC35F7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 xml:space="preserve">на </w:t>
                        </w:r>
                        <w:r w:rsidR="00ED5A3F">
                          <w:rPr>
                            <w:color w:val="000000"/>
                          </w:rPr>
                          <w:t>1января 202</w:t>
                        </w:r>
                        <w:r w:rsidR="00EC35F7">
                          <w:rPr>
                            <w:color w:val="000000"/>
                          </w:rPr>
                          <w:t>4</w:t>
                        </w:r>
                        <w:r>
                          <w:rPr>
                            <w:color w:val="000000"/>
                          </w:rPr>
                          <w:t xml:space="preserve"> г</w:t>
                        </w:r>
                        <w:r w:rsidR="002F0871">
                          <w:rPr>
                            <w:color w:val="000000"/>
                          </w:rPr>
                          <w:t>ода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 w:rsidP="00ED5A3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</w:t>
                  </w:r>
                  <w:r w:rsidR="00ED5A3F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.20</w:t>
                  </w:r>
                  <w:r w:rsidR="00BF1C8A">
                    <w:rPr>
                      <w:color w:val="000000"/>
                    </w:rPr>
                    <w:t>2</w:t>
                  </w:r>
                  <w:r w:rsidR="00EC35F7">
                    <w:rPr>
                      <w:color w:val="000000"/>
                    </w:rPr>
                    <w:t>4</w:t>
                  </w:r>
                </w:p>
                <w:p w:rsidR="00ED5A3F" w:rsidRDefault="00ED5A3F" w:rsidP="00ED5A3F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4E76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624E76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24E76" w:rsidRDefault="002F2BDB" w:rsidP="00E02DBA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</w:t>
                        </w:r>
                        <w:r w:rsidR="00FA642B">
                          <w:rPr>
                            <w:color w:val="000000"/>
                          </w:rPr>
                          <w:t>А</w:t>
                        </w:r>
                        <w:r w:rsidR="00E02DBA">
                          <w:rPr>
                            <w:color w:val="000000"/>
                          </w:rPr>
                          <w:t>ДБ</w:t>
                        </w:r>
                      </w:p>
                      <w:p w:rsidR="00E02DBA" w:rsidRDefault="00E02DBA" w:rsidP="00E02DBA">
                        <w:pPr>
                          <w:jc w:val="center"/>
                        </w:pPr>
                      </w:p>
                    </w:tc>
                  </w:tr>
                </w:tbl>
                <w:p w:rsidR="00624E76" w:rsidRDefault="00624E76">
                  <w:pPr>
                    <w:spacing w:line="1" w:lineRule="auto"/>
                  </w:pPr>
                </w:p>
              </w:tc>
            </w:tr>
            <w:tr w:rsidR="00624E76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</w:tr>
            <w:tr w:rsidR="00624E76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BF1C8A" w:rsidP="00F14F9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F14F99">
                    <w:rPr>
                      <w:color w:val="000000"/>
                    </w:rPr>
                    <w:t>4085097</w:t>
                  </w:r>
                </w:p>
              </w:tc>
            </w:tr>
            <w:tr w:rsidR="00624E76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  <w:jc w:val="center"/>
                  </w:pPr>
                </w:p>
              </w:tc>
            </w:tr>
            <w:tr w:rsidR="00624E76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  <w:jc w:val="center"/>
                  </w:pPr>
                </w:p>
              </w:tc>
            </w:tr>
            <w:tr w:rsidR="00624E76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4E76" w:rsidRDefault="002F2B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4E76" w:rsidRPr="00F14F99" w:rsidRDefault="00F14F99">
                  <w:pPr>
                    <w:rPr>
                      <w:color w:val="000000"/>
                      <w:u w:val="single"/>
                    </w:rPr>
                  </w:pPr>
                  <w:r w:rsidRPr="00F14F99">
                    <w:rPr>
                      <w:color w:val="000000"/>
                      <w:u w:val="single"/>
                      <w:shd w:val="clear" w:color="auto" w:fill="FFFFFF"/>
                    </w:rPr>
                    <w:t>Администрация Бастанского сельсовета Михайловского района Алтайского края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BF1C8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</w:t>
                  </w:r>
                </w:p>
              </w:tc>
            </w:tr>
            <w:tr w:rsidR="00624E76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 w:rsidP="00F14F99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Бюджет </w:t>
                  </w:r>
                  <w:r w:rsidR="00F14F99">
                    <w:rPr>
                      <w:color w:val="000000"/>
                      <w:u w:val="single"/>
                    </w:rPr>
                    <w:t>Бастан</w:t>
                  </w:r>
                  <w:r w:rsidR="007827F9">
                    <w:rPr>
                      <w:color w:val="000000"/>
                      <w:u w:val="single"/>
                    </w:rPr>
                    <w:t>ского</w:t>
                  </w:r>
                  <w:r w:rsidR="00BF1C8A">
                    <w:rPr>
                      <w:color w:val="000000"/>
                      <w:u w:val="single"/>
                    </w:rPr>
                    <w:t xml:space="preserve"> сельсовета Михайловского района 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  <w:jc w:val="center"/>
                  </w:pPr>
                </w:p>
              </w:tc>
            </w:tr>
            <w:tr w:rsidR="00624E76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624E76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24E76" w:rsidRDefault="00BF1C8A" w:rsidP="00F14F99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0162</w:t>
                        </w:r>
                        <w:r w:rsidR="007827F9">
                          <w:rPr>
                            <w:color w:val="000000"/>
                          </w:rPr>
                          <w:t>74</w:t>
                        </w:r>
                        <w:r w:rsidR="00F14F99">
                          <w:rPr>
                            <w:color w:val="000000"/>
                          </w:rPr>
                          <w:t>11</w:t>
                        </w:r>
                      </w:p>
                    </w:tc>
                  </w:tr>
                </w:tbl>
                <w:p w:rsidR="00624E76" w:rsidRDefault="00624E76">
                  <w:pPr>
                    <w:spacing w:line="1" w:lineRule="auto"/>
                  </w:pPr>
                </w:p>
              </w:tc>
            </w:tr>
            <w:tr w:rsidR="00624E76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624E76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24E76" w:rsidRDefault="002F2BDB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spacing w:line="1" w:lineRule="auto"/>
                    <w:jc w:val="center"/>
                  </w:pPr>
                </w:p>
              </w:tc>
            </w:tr>
            <w:tr w:rsidR="00624E76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624E76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624E76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24E76" w:rsidRDefault="002F2BDB">
                        <w:r>
                          <w:rPr>
                            <w:color w:val="000000"/>
                          </w:rPr>
                          <w:t>Единица измерения: РУБ</w:t>
                        </w:r>
                      </w:p>
                    </w:tc>
                  </w:tr>
                </w:tbl>
                <w:p w:rsidR="00624E76" w:rsidRDefault="00624E7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24E76" w:rsidRDefault="002F2BD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624E76" w:rsidRDefault="00624E76">
            <w:pPr>
              <w:spacing w:line="1" w:lineRule="auto"/>
            </w:pPr>
          </w:p>
        </w:tc>
      </w:tr>
    </w:tbl>
    <w:p w:rsidR="00624E76" w:rsidRDefault="00624E76">
      <w:pPr>
        <w:rPr>
          <w:vanish/>
        </w:rPr>
      </w:pPr>
      <w:bookmarkStart w:id="1" w:name="__bookmark_3"/>
      <w:bookmarkEnd w:id="1"/>
    </w:p>
    <w:tbl>
      <w:tblPr>
        <w:tblOverlap w:val="never"/>
        <w:tblW w:w="9356" w:type="dxa"/>
        <w:tblInd w:w="23" w:type="dxa"/>
        <w:tblLayout w:type="fixed"/>
        <w:tblLook w:val="01E0"/>
      </w:tblPr>
      <w:tblGrid>
        <w:gridCol w:w="9356"/>
      </w:tblGrid>
      <w:tr w:rsidR="00624E76" w:rsidTr="0070280B">
        <w:trPr>
          <w:tblHeader/>
        </w:trPr>
        <w:tc>
          <w:tcPr>
            <w:tcW w:w="8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Default="00624E76">
            <w:pPr>
              <w:spacing w:line="1" w:lineRule="auto"/>
              <w:jc w:val="center"/>
            </w:pPr>
          </w:p>
        </w:tc>
      </w:tr>
      <w:tr w:rsidR="00624E76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Default="002F2BDB" w:rsidP="001160F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624E76" w:rsidRDefault="00624E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4E76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Default="00624E76">
            <w:pPr>
              <w:spacing w:line="1" w:lineRule="auto"/>
            </w:pPr>
          </w:p>
        </w:tc>
      </w:tr>
      <w:tr w:rsidR="00624E76" w:rsidRPr="00FA642B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Pr="009D1FDC" w:rsidRDefault="002F2BDB" w:rsidP="00FA64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FDC">
              <w:rPr>
                <w:b/>
                <w:bCs/>
                <w:color w:val="000000"/>
                <w:sz w:val="24"/>
                <w:szCs w:val="24"/>
              </w:rPr>
              <w:t>Раздел 1 «Организационная структура субъекта бюджетной отчетности»</w:t>
            </w:r>
          </w:p>
          <w:p w:rsidR="00624E76" w:rsidRPr="009D1FDC" w:rsidRDefault="00624E76">
            <w:pPr>
              <w:rPr>
                <w:color w:val="000000"/>
                <w:sz w:val="24"/>
                <w:szCs w:val="24"/>
              </w:rPr>
            </w:pPr>
          </w:p>
          <w:p w:rsidR="005F4F60" w:rsidRPr="009D1FDC" w:rsidRDefault="007827F9" w:rsidP="0078352F">
            <w:pPr>
              <w:pStyle w:val="aa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22580009</w:t>
            </w:r>
            <w:r w:rsidR="00F14F99">
              <w:rPr>
                <w:sz w:val="24"/>
                <w:szCs w:val="24"/>
              </w:rPr>
              <w:t>30</w:t>
            </w:r>
            <w:r w:rsidR="00EC35F7">
              <w:rPr>
                <w:sz w:val="24"/>
                <w:szCs w:val="24"/>
              </w:rPr>
              <w:t>,</w:t>
            </w:r>
            <w:r w:rsidR="002F2BDB" w:rsidRPr="009D1FDC">
              <w:rPr>
                <w:sz w:val="24"/>
                <w:szCs w:val="24"/>
              </w:rPr>
              <w:t xml:space="preserve"> КПП </w:t>
            </w:r>
            <w:r w:rsidR="004C4886" w:rsidRPr="009D1FDC">
              <w:rPr>
                <w:sz w:val="24"/>
                <w:szCs w:val="24"/>
              </w:rPr>
              <w:t>225801001</w:t>
            </w:r>
            <w:r w:rsidR="00EC35F7">
              <w:rPr>
                <w:sz w:val="24"/>
                <w:szCs w:val="24"/>
              </w:rPr>
              <w:t>,</w:t>
            </w:r>
            <w:r w:rsidR="002F2BDB" w:rsidRPr="009D1FDC">
              <w:rPr>
                <w:sz w:val="24"/>
                <w:szCs w:val="24"/>
              </w:rPr>
              <w:t xml:space="preserve"> ОГРН </w:t>
            </w:r>
            <w:r>
              <w:rPr>
                <w:sz w:val="24"/>
                <w:szCs w:val="24"/>
              </w:rPr>
              <w:t>1022202315</w:t>
            </w:r>
            <w:r w:rsidR="00F14F99">
              <w:rPr>
                <w:sz w:val="24"/>
                <w:szCs w:val="24"/>
              </w:rPr>
              <w:t>970</w:t>
            </w:r>
            <w:r w:rsidR="00EC35F7">
              <w:rPr>
                <w:sz w:val="24"/>
                <w:szCs w:val="24"/>
              </w:rPr>
              <w:t xml:space="preserve">, ОКПО </w:t>
            </w:r>
            <w:r w:rsidR="00F14F99" w:rsidRPr="00F14F99">
              <w:rPr>
                <w:color w:val="000000"/>
                <w:sz w:val="24"/>
                <w:szCs w:val="24"/>
              </w:rPr>
              <w:t>04085097</w:t>
            </w:r>
            <w:r w:rsidR="002F2BDB" w:rsidRPr="009D1FDC">
              <w:rPr>
                <w:sz w:val="24"/>
                <w:szCs w:val="24"/>
              </w:rPr>
              <w:t xml:space="preserve">                                                                                Юридический адрес: </w:t>
            </w:r>
            <w:r w:rsidR="00F14F99">
              <w:rPr>
                <w:sz w:val="24"/>
                <w:szCs w:val="24"/>
              </w:rPr>
              <w:t>6589</w:t>
            </w:r>
            <w:r>
              <w:rPr>
                <w:sz w:val="24"/>
                <w:szCs w:val="24"/>
              </w:rPr>
              <w:t>7</w:t>
            </w:r>
            <w:r w:rsidR="00F14F99">
              <w:rPr>
                <w:sz w:val="24"/>
                <w:szCs w:val="24"/>
              </w:rPr>
              <w:t>2</w:t>
            </w:r>
            <w:r w:rsidR="002F2BDB" w:rsidRPr="009D1FDC">
              <w:rPr>
                <w:sz w:val="24"/>
                <w:szCs w:val="24"/>
              </w:rPr>
              <w:t>,Р</w:t>
            </w:r>
            <w:r w:rsidR="00FF5FFC" w:rsidRPr="009D1FDC">
              <w:rPr>
                <w:sz w:val="24"/>
                <w:szCs w:val="24"/>
              </w:rPr>
              <w:t>оссия</w:t>
            </w:r>
            <w:r w:rsidR="002F2BDB" w:rsidRPr="009D1FDC">
              <w:rPr>
                <w:sz w:val="24"/>
                <w:szCs w:val="24"/>
              </w:rPr>
              <w:t xml:space="preserve">, </w:t>
            </w:r>
            <w:r w:rsidR="004C4886" w:rsidRPr="009D1FDC">
              <w:rPr>
                <w:sz w:val="24"/>
                <w:szCs w:val="24"/>
              </w:rPr>
              <w:t xml:space="preserve">Алтайский край, Михайловский район </w:t>
            </w:r>
            <w:r w:rsidR="007B2979" w:rsidRPr="009D1F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14F99">
              <w:rPr>
                <w:sz w:val="24"/>
                <w:szCs w:val="24"/>
              </w:rPr>
              <w:t>Б</w:t>
            </w:r>
            <w:proofErr w:type="gramEnd"/>
            <w:r w:rsidR="00F14F99">
              <w:rPr>
                <w:sz w:val="24"/>
                <w:szCs w:val="24"/>
              </w:rPr>
              <w:t>астан</w:t>
            </w:r>
            <w:proofErr w:type="spellEnd"/>
            <w:r>
              <w:rPr>
                <w:sz w:val="24"/>
                <w:szCs w:val="24"/>
              </w:rPr>
              <w:t>, ул.Ленина,</w:t>
            </w:r>
            <w:r w:rsidR="00F14F99">
              <w:rPr>
                <w:sz w:val="24"/>
                <w:szCs w:val="24"/>
              </w:rPr>
              <w:t>101</w:t>
            </w:r>
            <w:r w:rsidR="00EC35F7">
              <w:rPr>
                <w:sz w:val="24"/>
                <w:szCs w:val="24"/>
              </w:rPr>
              <w:t>, тел 385702</w:t>
            </w:r>
            <w:r w:rsidR="00F14F99">
              <w:rPr>
                <w:sz w:val="24"/>
                <w:szCs w:val="24"/>
              </w:rPr>
              <w:t>7560</w:t>
            </w:r>
            <w:r w:rsidR="00EC35F7">
              <w:rPr>
                <w:sz w:val="24"/>
                <w:szCs w:val="24"/>
              </w:rPr>
              <w:t>.</w:t>
            </w:r>
            <w:r w:rsidR="007B2979" w:rsidRPr="009D1FDC">
              <w:rPr>
                <w:sz w:val="24"/>
                <w:szCs w:val="24"/>
              </w:rPr>
              <w:br/>
            </w:r>
            <w:r w:rsidR="007B2979" w:rsidRPr="009D1FDC"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 xml:space="preserve">Администрация </w:t>
            </w:r>
            <w:r w:rsidR="00F14F99">
              <w:rPr>
                <w:sz w:val="24"/>
                <w:szCs w:val="24"/>
              </w:rPr>
              <w:t>Бастан</w:t>
            </w:r>
            <w:r>
              <w:rPr>
                <w:sz w:val="24"/>
                <w:szCs w:val="24"/>
              </w:rPr>
              <w:t>ского</w:t>
            </w:r>
            <w:r w:rsidR="00963907" w:rsidRPr="009D1FDC">
              <w:rPr>
                <w:sz w:val="24"/>
                <w:szCs w:val="24"/>
              </w:rPr>
              <w:t xml:space="preserve"> сельсовета</w:t>
            </w:r>
            <w:r w:rsidR="00F14F99">
              <w:rPr>
                <w:sz w:val="24"/>
                <w:szCs w:val="24"/>
              </w:rPr>
              <w:t xml:space="preserve"> осуществляет свою деятельность, </w:t>
            </w:r>
            <w:r w:rsidR="00963907" w:rsidRPr="009D1FDC">
              <w:rPr>
                <w:sz w:val="24"/>
                <w:szCs w:val="24"/>
              </w:rPr>
              <w:t>руководствуясь Конституцией РФ, Федеральным законом «Об общих принципах организации местного самоуправления в РФ», законом Алтайского края «Об основах местного самоуправления в Алтайском крае» и настоящим Устав</w:t>
            </w:r>
            <w:r>
              <w:rPr>
                <w:sz w:val="24"/>
                <w:szCs w:val="24"/>
              </w:rPr>
              <w:t xml:space="preserve">ом принятым решением </w:t>
            </w:r>
            <w:r w:rsidR="00F14F99">
              <w:rPr>
                <w:sz w:val="24"/>
                <w:szCs w:val="24"/>
              </w:rPr>
              <w:t>Бастан</w:t>
            </w:r>
            <w:r>
              <w:rPr>
                <w:sz w:val="24"/>
                <w:szCs w:val="24"/>
              </w:rPr>
              <w:t>ского</w:t>
            </w:r>
            <w:r w:rsidR="00963907" w:rsidRPr="009D1FDC">
              <w:rPr>
                <w:sz w:val="24"/>
                <w:szCs w:val="24"/>
              </w:rPr>
              <w:t xml:space="preserve"> сельского Совета депутатов Михайловского района Алтайского края </w:t>
            </w:r>
            <w:r w:rsidR="00F14F99">
              <w:rPr>
                <w:sz w:val="24"/>
                <w:szCs w:val="24"/>
              </w:rPr>
              <w:t>04.05</w:t>
            </w:r>
            <w:r w:rsidR="005B753C" w:rsidRPr="009D1FDC">
              <w:rPr>
                <w:sz w:val="24"/>
                <w:szCs w:val="24"/>
              </w:rPr>
              <w:t>.202</w:t>
            </w:r>
            <w:r w:rsidR="00F14F99">
              <w:rPr>
                <w:sz w:val="24"/>
                <w:szCs w:val="24"/>
              </w:rPr>
              <w:t>3</w:t>
            </w:r>
            <w:r w:rsidR="005B753C" w:rsidRPr="009D1FDC">
              <w:rPr>
                <w:sz w:val="24"/>
                <w:szCs w:val="24"/>
              </w:rPr>
              <w:t xml:space="preserve"> г. №</w:t>
            </w:r>
            <w:r w:rsidR="00F14F99">
              <w:rPr>
                <w:sz w:val="24"/>
                <w:szCs w:val="24"/>
              </w:rPr>
              <w:t>37</w:t>
            </w:r>
            <w:r w:rsidR="0078352F">
              <w:rPr>
                <w:sz w:val="24"/>
                <w:szCs w:val="24"/>
              </w:rPr>
              <w:t>, Учреждение имеет самостоятельный баланс, лицевые счета,</w:t>
            </w:r>
            <w:r w:rsidR="00637492">
              <w:rPr>
                <w:sz w:val="24"/>
                <w:szCs w:val="24"/>
              </w:rPr>
              <w:t xml:space="preserve"> </w:t>
            </w:r>
            <w:r w:rsidR="0078352F">
              <w:rPr>
                <w:sz w:val="24"/>
                <w:szCs w:val="24"/>
              </w:rPr>
              <w:t xml:space="preserve">открытые в органах федерального казначейства РФ по </w:t>
            </w:r>
            <w:r w:rsidR="00637492">
              <w:rPr>
                <w:sz w:val="24"/>
                <w:szCs w:val="24"/>
              </w:rPr>
              <w:t>Алтайскому</w:t>
            </w:r>
            <w:r w:rsidR="0078352F">
              <w:rPr>
                <w:sz w:val="24"/>
                <w:szCs w:val="24"/>
              </w:rPr>
              <w:t xml:space="preserve"> краю</w:t>
            </w:r>
            <w:proofErr w:type="gramEnd"/>
            <w:r w:rsidR="0078352F">
              <w:rPr>
                <w:sz w:val="24"/>
                <w:szCs w:val="24"/>
              </w:rPr>
              <w:t>,</w:t>
            </w:r>
            <w:r w:rsidR="00637492">
              <w:rPr>
                <w:sz w:val="24"/>
                <w:szCs w:val="24"/>
              </w:rPr>
              <w:t xml:space="preserve"> </w:t>
            </w:r>
            <w:r w:rsidR="0078352F">
              <w:rPr>
                <w:sz w:val="24"/>
                <w:szCs w:val="24"/>
              </w:rPr>
              <w:t>печать с наименованием органа, в ведени</w:t>
            </w:r>
            <w:r w:rsidR="00F14F99">
              <w:rPr>
                <w:sz w:val="24"/>
                <w:szCs w:val="24"/>
              </w:rPr>
              <w:t>и</w:t>
            </w:r>
            <w:r w:rsidR="0078352F">
              <w:rPr>
                <w:sz w:val="24"/>
                <w:szCs w:val="24"/>
              </w:rPr>
              <w:t xml:space="preserve"> которого оно находится.</w:t>
            </w:r>
          </w:p>
          <w:p w:rsidR="00FF5FFC" w:rsidRPr="009D1FDC" w:rsidRDefault="00FF5FFC" w:rsidP="00FF5FFC">
            <w:pPr>
              <w:tabs>
                <w:tab w:val="left" w:pos="732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4E76" w:rsidRPr="00FA642B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Pr="009D1FDC" w:rsidRDefault="00624E76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624E76" w:rsidRPr="00FA642B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Pr="009D1FDC" w:rsidRDefault="002F2BDB" w:rsidP="00FA64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1FDC">
              <w:rPr>
                <w:b/>
                <w:bCs/>
                <w:color w:val="000000"/>
                <w:sz w:val="24"/>
                <w:szCs w:val="24"/>
              </w:rPr>
              <w:t>Раздел 2 «Результаты деятельности субъекта бюджетной отчетности»</w:t>
            </w:r>
          </w:p>
          <w:p w:rsidR="00624E76" w:rsidRPr="009D1FDC" w:rsidRDefault="00624E76">
            <w:pPr>
              <w:rPr>
                <w:color w:val="000000"/>
                <w:sz w:val="24"/>
                <w:szCs w:val="24"/>
              </w:rPr>
            </w:pPr>
          </w:p>
          <w:p w:rsidR="00154D4F" w:rsidRPr="009D1FDC" w:rsidRDefault="00154D4F" w:rsidP="00637492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9D1FDC">
              <w:rPr>
                <w:sz w:val="24"/>
                <w:szCs w:val="24"/>
              </w:rPr>
              <w:t xml:space="preserve">Поселение имеет собственный бюджет (бюджет поселения). </w:t>
            </w:r>
            <w:proofErr w:type="gramStart"/>
            <w:r w:rsidRPr="009D1FDC">
              <w:rPr>
                <w:bCs/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требований, установленных Бюджетным </w:t>
            </w:r>
            <w:hyperlink r:id="rId6" w:history="1">
              <w:r w:rsidRPr="009D1FDC">
                <w:rPr>
                  <w:rStyle w:val="a3"/>
                  <w:bCs/>
                  <w:sz w:val="24"/>
                  <w:szCs w:val="24"/>
                </w:rPr>
                <w:t>кодексом</w:t>
              </w:r>
            </w:hyperlink>
            <w:r w:rsidRPr="009D1FDC">
              <w:rPr>
                <w:bCs/>
                <w:sz w:val="24"/>
                <w:szCs w:val="24"/>
              </w:rPr>
              <w:t xml:space="preserve"> Российской Федерации.</w:t>
            </w:r>
            <w:proofErr w:type="gramEnd"/>
            <w:r w:rsidRPr="009D1FDC">
              <w:rPr>
                <w:sz w:val="24"/>
                <w:szCs w:val="24"/>
              </w:rPr>
              <w:t xml:space="preserve"> Финансовое обеспечение деятельности органов местного самоуправления осуществляется за счет собственных доходов бюджета поселения и за счет безвозмездных поступлений от других бюджетов бюджетной системы РФ.</w:t>
            </w:r>
          </w:p>
          <w:p w:rsidR="001B3920" w:rsidRPr="009E41AB" w:rsidRDefault="001B3920" w:rsidP="00154D4F">
            <w:pPr>
              <w:pStyle w:val="aa"/>
              <w:jc w:val="both"/>
              <w:rPr>
                <w:sz w:val="24"/>
                <w:szCs w:val="24"/>
              </w:rPr>
            </w:pPr>
            <w:r w:rsidRPr="009E41AB">
              <w:rPr>
                <w:sz w:val="24"/>
                <w:szCs w:val="24"/>
                <w:shd w:val="clear" w:color="auto" w:fill="FFFFFF"/>
              </w:rPr>
              <w:t>Полномочия по ведению бухгалтерского учета преданы МКУ «Централизованная бухгалтерия»</w:t>
            </w:r>
            <w:r w:rsidR="00C61014" w:rsidRPr="009E41AB">
              <w:rPr>
                <w:sz w:val="24"/>
                <w:szCs w:val="24"/>
                <w:shd w:val="clear" w:color="auto" w:fill="FFFFFF"/>
              </w:rPr>
              <w:t xml:space="preserve"> на основании договора от 0</w:t>
            </w:r>
            <w:r w:rsidR="00F14F99" w:rsidRPr="009E41AB">
              <w:rPr>
                <w:sz w:val="24"/>
                <w:szCs w:val="24"/>
                <w:shd w:val="clear" w:color="auto" w:fill="FFFFFF"/>
              </w:rPr>
              <w:t>9</w:t>
            </w:r>
            <w:r w:rsidR="00C61014" w:rsidRPr="009E41AB">
              <w:rPr>
                <w:sz w:val="24"/>
                <w:szCs w:val="24"/>
                <w:shd w:val="clear" w:color="auto" w:fill="FFFFFF"/>
              </w:rPr>
              <w:t>.1</w:t>
            </w:r>
            <w:r w:rsidR="00F14F99" w:rsidRPr="009E41AB">
              <w:rPr>
                <w:sz w:val="24"/>
                <w:szCs w:val="24"/>
                <w:shd w:val="clear" w:color="auto" w:fill="FFFFFF"/>
              </w:rPr>
              <w:t>0</w:t>
            </w:r>
            <w:r w:rsidR="00C61014" w:rsidRPr="009E41AB">
              <w:rPr>
                <w:sz w:val="24"/>
                <w:szCs w:val="24"/>
                <w:shd w:val="clear" w:color="auto" w:fill="FFFFFF"/>
              </w:rPr>
              <w:t>.2017</w:t>
            </w:r>
            <w:proofErr w:type="gramStart"/>
            <w:r w:rsidR="00C61014" w:rsidRPr="009E41AB">
              <w:rPr>
                <w:sz w:val="24"/>
                <w:szCs w:val="24"/>
                <w:shd w:val="clear" w:color="auto" w:fill="FFFFFF"/>
              </w:rPr>
              <w:t>г. б</w:t>
            </w:r>
            <w:proofErr w:type="gramEnd"/>
            <w:r w:rsidR="00C61014" w:rsidRPr="009E41AB">
              <w:rPr>
                <w:sz w:val="24"/>
                <w:szCs w:val="24"/>
                <w:shd w:val="clear" w:color="auto" w:fill="FFFFFF"/>
              </w:rPr>
              <w:t>/н.</w:t>
            </w:r>
          </w:p>
          <w:p w:rsidR="00624E76" w:rsidRPr="009D1FDC" w:rsidRDefault="002F2BDB" w:rsidP="008E5B34">
            <w:pPr>
              <w:ind w:firstLine="590"/>
              <w:jc w:val="both"/>
              <w:rPr>
                <w:color w:val="000000"/>
                <w:sz w:val="24"/>
                <w:szCs w:val="24"/>
              </w:rPr>
            </w:pPr>
            <w:r w:rsidRPr="009D1FDC">
              <w:rPr>
                <w:color w:val="000000"/>
                <w:sz w:val="24"/>
                <w:szCs w:val="24"/>
              </w:rPr>
              <w:t xml:space="preserve">Бухгалтерская бюджетная отчетность предоставляется в департамент финансов в электронном виде с использованием программного продукта </w:t>
            </w:r>
            <w:r w:rsidR="007B2979" w:rsidRPr="009D1FDC">
              <w:rPr>
                <w:color w:val="000000"/>
                <w:sz w:val="24"/>
                <w:szCs w:val="24"/>
              </w:rPr>
              <w:t>«</w:t>
            </w:r>
            <w:r w:rsidRPr="009D1FDC">
              <w:rPr>
                <w:color w:val="000000"/>
                <w:sz w:val="24"/>
                <w:szCs w:val="24"/>
              </w:rPr>
              <w:t>WEB-Консолидация</w:t>
            </w:r>
            <w:r w:rsidR="007B2979" w:rsidRPr="009D1FDC">
              <w:rPr>
                <w:color w:val="000000"/>
                <w:sz w:val="24"/>
                <w:szCs w:val="24"/>
              </w:rPr>
              <w:t>»</w:t>
            </w:r>
            <w:r w:rsidRPr="009D1FDC">
              <w:rPr>
                <w:color w:val="000000"/>
                <w:sz w:val="24"/>
                <w:szCs w:val="24"/>
              </w:rPr>
              <w:t xml:space="preserve"> и на бумажном носителе. Для ведения бухгалтерского учета </w:t>
            </w:r>
            <w:r w:rsidR="005F4F60" w:rsidRPr="009E41AB">
              <w:rPr>
                <w:sz w:val="24"/>
                <w:szCs w:val="24"/>
              </w:rPr>
              <w:t>используется программа</w:t>
            </w:r>
            <w:r w:rsidR="008E5B34" w:rsidRPr="009E41AB">
              <w:rPr>
                <w:sz w:val="24"/>
                <w:szCs w:val="24"/>
              </w:rPr>
              <w:t>ми «1С: Бухгалтерия государственного учреждения», «1С</w:t>
            </w:r>
            <w:proofErr w:type="gramStart"/>
            <w:r w:rsidR="008E5B34" w:rsidRPr="009E41AB">
              <w:rPr>
                <w:sz w:val="24"/>
                <w:szCs w:val="24"/>
              </w:rPr>
              <w:t>:З</w:t>
            </w:r>
            <w:proofErr w:type="gramEnd"/>
            <w:r w:rsidR="008E5B34" w:rsidRPr="009E41AB">
              <w:rPr>
                <w:sz w:val="24"/>
                <w:szCs w:val="24"/>
              </w:rPr>
              <w:t>арплата и кадры государственного учреждения»</w:t>
            </w:r>
            <w:r w:rsidR="009E41AB">
              <w:rPr>
                <w:sz w:val="24"/>
                <w:szCs w:val="24"/>
              </w:rPr>
              <w:t>.</w:t>
            </w:r>
          </w:p>
        </w:tc>
      </w:tr>
      <w:tr w:rsidR="00624E76" w:rsidRPr="00FA642B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Pr="009D1FDC" w:rsidRDefault="00624E76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624E76" w:rsidRPr="00FA642B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Pr="009D1FDC" w:rsidRDefault="00624E76">
            <w:pPr>
              <w:rPr>
                <w:color w:val="000000"/>
                <w:sz w:val="24"/>
                <w:szCs w:val="24"/>
              </w:rPr>
            </w:pPr>
          </w:p>
          <w:p w:rsidR="00624E76" w:rsidRDefault="002F2B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1FDC">
              <w:rPr>
                <w:b/>
                <w:bCs/>
                <w:color w:val="000000"/>
                <w:sz w:val="24"/>
                <w:szCs w:val="24"/>
              </w:rPr>
              <w:t>Раздел 3 «Анализ отчета об исполнении бюджета субъектом бюджетной отчетности»</w:t>
            </w:r>
          </w:p>
          <w:p w:rsidR="005F36CF" w:rsidRDefault="005F36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D3516" w:rsidRDefault="002D3516" w:rsidP="002D351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8601" w:type="dxa"/>
              <w:tblInd w:w="23" w:type="dxa"/>
              <w:tblLayout w:type="fixed"/>
              <w:tblLook w:val="04A0"/>
            </w:tblPr>
            <w:tblGrid>
              <w:gridCol w:w="142"/>
              <w:gridCol w:w="96"/>
              <w:gridCol w:w="8363"/>
            </w:tblGrid>
            <w:tr w:rsidR="00992C16" w:rsidRPr="0006299F" w:rsidTr="00474793">
              <w:trPr>
                <w:gridBefore w:val="2"/>
                <w:wBefore w:w="238" w:type="dxa"/>
              </w:trPr>
              <w:tc>
                <w:tcPr>
                  <w:tcW w:w="836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532E" w:rsidRDefault="008E5EC3" w:rsidP="002D3516">
                  <w:pPr>
                    <w:ind w:firstLine="709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9532E"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2D3516" w:rsidRPr="0009532E">
                    <w:rPr>
                      <w:color w:val="000000"/>
                      <w:sz w:val="24"/>
                      <w:szCs w:val="24"/>
                    </w:rPr>
                    <w:t xml:space="preserve">а 2023 год были утверждены </w:t>
                  </w:r>
                  <w:r w:rsidR="00992C16" w:rsidRPr="0009532E">
                    <w:rPr>
                      <w:color w:val="000000"/>
                      <w:sz w:val="24"/>
                      <w:szCs w:val="24"/>
                    </w:rPr>
                    <w:t xml:space="preserve">расходы в сумме </w:t>
                  </w:r>
                  <w:r w:rsidR="0009532E" w:rsidRPr="0009532E">
                    <w:rPr>
                      <w:color w:val="000000"/>
                      <w:sz w:val="24"/>
                      <w:szCs w:val="24"/>
                    </w:rPr>
                    <w:t>2 215 3</w:t>
                  </w:r>
                  <w:r w:rsidR="00992C16" w:rsidRPr="0009532E">
                    <w:rPr>
                      <w:color w:val="000000"/>
                      <w:sz w:val="24"/>
                      <w:szCs w:val="24"/>
                    </w:rPr>
                    <w:t xml:space="preserve">00,00 рублей. </w:t>
                  </w:r>
                  <w:r w:rsidR="0009532E" w:rsidRPr="0009532E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 течение 2023 года были  внесены изменения, что составили 3635582,00 рублей. </w:t>
                  </w:r>
                  <w:proofErr w:type="gramStart"/>
                  <w:r w:rsidR="0009532E" w:rsidRPr="0009532E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Увеличение  расходной части бюджета  произошло за счет добавления межбюджетные трансферты  в размере 420 000,00 рублей: на приобретение оборудования в дом культуры – 100 000,00 рублей, а также 150 000,00 рублей -  межбюджетных трансфертов, дополнительно выделенных на оплату труда, 170 000,00 – добавили на проект Программы сельских территорий, в рамках которой было приобретено и установлено игровое оборудование для детской площадки.</w:t>
                  </w:r>
                  <w:r w:rsidR="0009532E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End"/>
                </w:p>
                <w:p w:rsidR="0009532E" w:rsidRDefault="0009532E" w:rsidP="0009532E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09532E">
                    <w:rPr>
                      <w:color w:val="000000"/>
                      <w:sz w:val="24"/>
                      <w:szCs w:val="24"/>
                    </w:rPr>
                    <w:t xml:space="preserve">Бюджет муниципального образования </w:t>
                  </w:r>
                  <w:r w:rsidR="00454131">
                    <w:rPr>
                      <w:color w:val="000000"/>
                      <w:sz w:val="24"/>
                      <w:szCs w:val="24"/>
                    </w:rPr>
                    <w:t>Бастан</w:t>
                  </w:r>
                  <w:r w:rsidRPr="0009532E">
                    <w:rPr>
                      <w:color w:val="000000"/>
                      <w:sz w:val="24"/>
                      <w:szCs w:val="24"/>
                    </w:rPr>
                    <w:t>ский сельсовет за 2023 год по доходам при годовом плане 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635,6 </w:t>
                  </w:r>
                  <w:r w:rsidRPr="0009532E"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09532E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09532E">
                    <w:rPr>
                      <w:color w:val="000000"/>
                      <w:sz w:val="24"/>
                      <w:szCs w:val="24"/>
                    </w:rPr>
                    <w:t xml:space="preserve">уб. исполнен в сумме 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4B40CE">
                    <w:rPr>
                      <w:color w:val="000000"/>
                      <w:sz w:val="24"/>
                      <w:szCs w:val="24"/>
                    </w:rPr>
                    <w:t>528,1</w:t>
                  </w:r>
                  <w:r w:rsidRPr="0009532E">
                    <w:rPr>
                      <w:color w:val="000000"/>
                      <w:sz w:val="24"/>
                      <w:szCs w:val="24"/>
                    </w:rPr>
                    <w:t xml:space="preserve"> тыс.руб. или на 9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09532E">
                    <w:rPr>
                      <w:color w:val="000000"/>
                      <w:sz w:val="24"/>
                      <w:szCs w:val="24"/>
                    </w:rPr>
                    <w:t xml:space="preserve">%,что на </w:t>
                  </w:r>
                  <w:r w:rsidR="00454131">
                    <w:rPr>
                      <w:color w:val="000000"/>
                      <w:sz w:val="24"/>
                      <w:szCs w:val="24"/>
                    </w:rPr>
                    <w:t>8</w:t>
                  </w:r>
                  <w:r w:rsidRPr="0009532E">
                    <w:rPr>
                      <w:color w:val="000000"/>
                      <w:sz w:val="24"/>
                      <w:szCs w:val="24"/>
                    </w:rPr>
                    <w:t>% больше суммы за 2022 год.</w:t>
                  </w:r>
                </w:p>
                <w:p w:rsidR="00454131" w:rsidRDefault="00454131" w:rsidP="0009532E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09532E">
                    <w:rPr>
                      <w:color w:val="000000"/>
                      <w:sz w:val="24"/>
                      <w:szCs w:val="24"/>
                    </w:rPr>
                    <w:t>Налоговые и неналоговые доходы бюджета поселения за 2023 год исполнены в сумме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B40CE">
                    <w:rPr>
                      <w:color w:val="000000"/>
                      <w:sz w:val="24"/>
                      <w:szCs w:val="24"/>
                    </w:rPr>
                    <w:t>1072,1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тыс. руб., что составляет 11</w:t>
                  </w:r>
                  <w:r w:rsidR="004B40CE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4B40CE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% от утвержденного плана.</w:t>
                  </w:r>
                </w:p>
                <w:p w:rsidR="00454131" w:rsidRDefault="00454131" w:rsidP="0009532E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Доля налоговых и неналоговых доходов в общей сумме поступлений составляет </w:t>
                  </w:r>
                  <w:r w:rsidR="004B40CE">
                    <w:rPr>
                      <w:color w:val="000000"/>
                      <w:sz w:val="24"/>
                      <w:szCs w:val="24"/>
                    </w:rPr>
                    <w:t>30,4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%. В общей сумме налоговых и неналоговых поступлений на долю налоговых доходов приходится </w:t>
                  </w:r>
                  <w:r w:rsidR="00A20535">
                    <w:rPr>
                      <w:color w:val="000000"/>
                      <w:sz w:val="24"/>
                      <w:szCs w:val="24"/>
                    </w:rPr>
                    <w:t>69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%, на неналоговые доходы </w:t>
                  </w:r>
                  <w:r w:rsidR="00A20535">
                    <w:rPr>
                      <w:color w:val="000000"/>
                      <w:sz w:val="24"/>
                      <w:szCs w:val="24"/>
                    </w:rPr>
                    <w:t>31</w:t>
                  </w:r>
                  <w:r>
                    <w:rPr>
                      <w:color w:val="000000"/>
                      <w:sz w:val="24"/>
                      <w:szCs w:val="24"/>
                    </w:rPr>
                    <w:t>%.</w:t>
                  </w:r>
                </w:p>
                <w:p w:rsidR="00CF7447" w:rsidRDefault="00CF7447" w:rsidP="00CF7447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 соответствии с изменениями, внесенными в Бюджетный кодекс РФ в редакции Федерального закона от 29.11.2014 №383-ФЗ, в соответствии со ст. 61.5 в бюджеты сельских поселений подлежит зачислению налог на доходы физических лиц по нормативу 2 процента.</w:t>
                  </w:r>
                  <w:proofErr w:type="gramEnd"/>
                </w:p>
                <w:p w:rsidR="00D75193" w:rsidRDefault="00CF7447" w:rsidP="00D75193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992C16">
                    <w:rPr>
                      <w:color w:val="000000"/>
                      <w:sz w:val="24"/>
                      <w:szCs w:val="24"/>
                    </w:rPr>
                    <w:t>Собственные доходы: налог на доходы физических лиц исполнен на 1</w:t>
                  </w:r>
                  <w:r>
                    <w:rPr>
                      <w:color w:val="000000"/>
                      <w:sz w:val="24"/>
                      <w:szCs w:val="24"/>
                    </w:rPr>
                    <w:t>09,3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%(при утвержденном  плане 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,0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 фактически  поступило </w:t>
                  </w:r>
                  <w:r>
                    <w:rPr>
                      <w:color w:val="000000"/>
                      <w:sz w:val="24"/>
                      <w:szCs w:val="24"/>
                    </w:rPr>
                    <w:t>92,9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руб.); Налоги на совокупный доход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75193">
                    <w:rPr>
                      <w:color w:val="000000"/>
                      <w:sz w:val="24"/>
                      <w:szCs w:val="24"/>
                    </w:rPr>
                    <w:t xml:space="preserve">(Единый сельхозналог)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исполнен на 122,2% 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при утвержденном  плане </w:t>
                  </w:r>
                  <w:r>
                    <w:rPr>
                      <w:color w:val="000000"/>
                      <w:sz w:val="24"/>
                      <w:szCs w:val="24"/>
                    </w:rPr>
                    <w:t>63,0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 фактически  поступило </w:t>
                  </w:r>
                  <w:r>
                    <w:rPr>
                      <w:color w:val="000000"/>
                      <w:sz w:val="24"/>
                      <w:szCs w:val="24"/>
                    </w:rPr>
                    <w:t>75,9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руб.)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Налоги на имущество исполнены на </w:t>
                  </w:r>
                  <w:r>
                    <w:rPr>
                      <w:color w:val="000000"/>
                      <w:sz w:val="24"/>
                      <w:szCs w:val="24"/>
                    </w:rPr>
                    <w:t>98,2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% (при  утвержденном плане 5</w:t>
                  </w:r>
                  <w:r>
                    <w:rPr>
                      <w:color w:val="000000"/>
                      <w:sz w:val="24"/>
                      <w:szCs w:val="24"/>
                    </w:rPr>
                    <w:t>83,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992C16">
                    <w:rPr>
                      <w:color w:val="000000"/>
                      <w:sz w:val="24"/>
                      <w:szCs w:val="24"/>
                    </w:rPr>
                    <w:t>уб</w:t>
                  </w:r>
                  <w:proofErr w:type="spellEnd"/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, фактическое исполнение составило </w:t>
                  </w:r>
                  <w:r>
                    <w:rPr>
                      <w:color w:val="000000"/>
                      <w:sz w:val="24"/>
                      <w:szCs w:val="24"/>
                    </w:rPr>
                    <w:t>572,3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 руб.)</w:t>
                  </w:r>
                </w:p>
                <w:p w:rsidR="00D75193" w:rsidRDefault="00D75193" w:rsidP="00D75193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земельный налог исполнен на </w:t>
                  </w:r>
                  <w:r>
                    <w:rPr>
                      <w:color w:val="000000"/>
                      <w:sz w:val="24"/>
                      <w:szCs w:val="24"/>
                    </w:rPr>
                    <w:t>95,5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% (при  утвержденном  плане </w:t>
                  </w:r>
                  <w:r>
                    <w:rPr>
                      <w:color w:val="000000"/>
                      <w:sz w:val="24"/>
                      <w:szCs w:val="24"/>
                    </w:rPr>
                    <w:t>520,0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руб., фактическое исполнение составило </w:t>
                  </w:r>
                  <w:r>
                    <w:rPr>
                      <w:color w:val="000000"/>
                      <w:sz w:val="24"/>
                      <w:szCs w:val="24"/>
                    </w:rPr>
                    <w:t>496,4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руб.)</w:t>
                  </w:r>
                </w:p>
                <w:p w:rsidR="00D75193" w:rsidRDefault="00D75193" w:rsidP="00D75193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 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исполнен на </w:t>
                  </w:r>
                  <w:r>
                    <w:rPr>
                      <w:color w:val="000000"/>
                      <w:sz w:val="24"/>
                      <w:szCs w:val="24"/>
                    </w:rPr>
                    <w:t>318,8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% (при  утвержденном  плане </w:t>
                  </w:r>
                  <w:r>
                    <w:rPr>
                      <w:color w:val="000000"/>
                      <w:sz w:val="24"/>
                      <w:szCs w:val="24"/>
                    </w:rPr>
                    <w:t>48,0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руб., фактическое исполнение составило </w:t>
                  </w:r>
                  <w:r>
                    <w:rPr>
                      <w:color w:val="000000"/>
                      <w:sz w:val="24"/>
                      <w:szCs w:val="24"/>
                    </w:rPr>
                    <w:t>153,1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руб.)</w:t>
                  </w:r>
                </w:p>
                <w:p w:rsidR="006B45BC" w:rsidRDefault="006B45BC" w:rsidP="006B45BC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Доходы от оказания платных услуг и компенсации затрат государства 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исполнен на </w:t>
                  </w:r>
                  <w:r>
                    <w:rPr>
                      <w:color w:val="000000"/>
                      <w:sz w:val="24"/>
                      <w:szCs w:val="24"/>
                    </w:rPr>
                    <w:t>296,5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% (при  утвержденном  плане </w:t>
                  </w:r>
                  <w:r>
                    <w:rPr>
                      <w:color w:val="000000"/>
                      <w:sz w:val="24"/>
                      <w:szCs w:val="24"/>
                    </w:rPr>
                    <w:t>8,0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руб., фактическое исполнение составило </w:t>
                  </w:r>
                  <w:r>
                    <w:rPr>
                      <w:color w:val="000000"/>
                      <w:sz w:val="24"/>
                      <w:szCs w:val="24"/>
                    </w:rPr>
                    <w:t>23,7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руб.)</w:t>
                  </w:r>
                </w:p>
                <w:p w:rsidR="008546B4" w:rsidRDefault="008546B4" w:rsidP="008546B4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Доходы от продажи материальных и нематериальных активов 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исполнен на </w:t>
                  </w: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% (при  утвержденном  плане </w:t>
                  </w:r>
                  <w:r>
                    <w:rPr>
                      <w:color w:val="000000"/>
                      <w:sz w:val="24"/>
                      <w:szCs w:val="24"/>
                    </w:rPr>
                    <w:t>60,8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руб., фактическое исполнение составило </w:t>
                  </w:r>
                  <w:r>
                    <w:rPr>
                      <w:color w:val="000000"/>
                      <w:sz w:val="24"/>
                      <w:szCs w:val="24"/>
                    </w:rPr>
                    <w:t>60,8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руб.)</w:t>
                  </w:r>
                </w:p>
                <w:p w:rsidR="007F0236" w:rsidRDefault="007F0236" w:rsidP="007F0236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 xml:space="preserve">Прочие неналоговые доходы (инициативные платежи, зачисляемые в бюджеты сельских поселений, а именно доля граждан для участия в </w:t>
                  </w:r>
                  <w:r w:rsidR="00733300">
                    <w:rPr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color w:val="000000"/>
                      <w:sz w:val="24"/>
                      <w:szCs w:val="24"/>
                    </w:rPr>
                    <w:t>роекте</w:t>
                  </w:r>
                  <w:r w:rsidR="00733300">
                    <w:rPr>
                      <w:color w:val="000000"/>
                      <w:sz w:val="24"/>
                      <w:szCs w:val="24"/>
                    </w:rPr>
                    <w:t xml:space="preserve"> краевой Программы </w:t>
                  </w:r>
                  <w:r w:rsidR="006C6104">
                    <w:rPr>
                      <w:color w:val="000000"/>
                      <w:sz w:val="24"/>
                      <w:szCs w:val="24"/>
                    </w:rPr>
                    <w:t>местных инициатив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исполнен на </w:t>
                  </w:r>
                  <w:r w:rsidR="00733300">
                    <w:rPr>
                      <w:color w:val="000000"/>
                      <w:sz w:val="24"/>
                      <w:szCs w:val="24"/>
                    </w:rPr>
                    <w:t>100,0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% (при  утвержденном  плане </w:t>
                  </w:r>
                  <w:r w:rsidR="00733300">
                    <w:rPr>
                      <w:color w:val="000000"/>
                      <w:sz w:val="24"/>
                      <w:szCs w:val="24"/>
                    </w:rPr>
                    <w:t>96</w:t>
                  </w:r>
                  <w:r>
                    <w:rPr>
                      <w:color w:val="000000"/>
                      <w:sz w:val="24"/>
                      <w:szCs w:val="24"/>
                    </w:rPr>
                    <w:t>,0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руб., фактическое исполнение составило </w:t>
                  </w:r>
                  <w:r w:rsidR="00733300">
                    <w:rPr>
                      <w:color w:val="000000"/>
                      <w:sz w:val="24"/>
                      <w:szCs w:val="24"/>
                    </w:rPr>
                    <w:t>96,0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тыс.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руб.)</w:t>
                  </w:r>
                  <w:proofErr w:type="gramEnd"/>
                </w:p>
                <w:p w:rsidR="0084750A" w:rsidRDefault="0084750A" w:rsidP="0084750A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Безвозмездные поступления исполнены на </w:t>
                  </w:r>
                  <w:r>
                    <w:rPr>
                      <w:color w:val="000000"/>
                      <w:sz w:val="24"/>
                      <w:szCs w:val="24"/>
                    </w:rPr>
                    <w:t>91,1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% (при  утвержденном  плане 2 </w:t>
                  </w:r>
                  <w:r>
                    <w:rPr>
                      <w:color w:val="000000"/>
                      <w:sz w:val="24"/>
                      <w:szCs w:val="24"/>
                    </w:rPr>
                    <w:t>694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782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 фактически исполнение составило  </w:t>
                  </w:r>
                  <w:r>
                    <w:rPr>
                      <w:color w:val="000000"/>
                      <w:sz w:val="24"/>
                      <w:szCs w:val="24"/>
                    </w:rPr>
                    <w:t>2455992,54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руб.).</w:t>
                  </w:r>
                  <w:r w:rsidR="004A03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В состав безвозмездных поступлений Бастанского сельсовета входят:</w:t>
                  </w:r>
                </w:p>
                <w:p w:rsidR="0084750A" w:rsidRDefault="0084750A" w:rsidP="0084750A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-дотации бюджетам сельских поселений на выравнивание бюджетной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обеспеченности из бюджетов муниципальных районов были выделены из краевого бюджета </w:t>
                  </w:r>
                  <w:r w:rsidR="00881836">
                    <w:rPr>
                      <w:color w:val="000000"/>
                      <w:sz w:val="24"/>
                      <w:szCs w:val="24"/>
                    </w:rPr>
                    <w:t>69,1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тыс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уб. и </w:t>
                  </w:r>
                  <w:r w:rsidR="00881836">
                    <w:rPr>
                      <w:color w:val="000000"/>
                      <w:sz w:val="24"/>
                      <w:szCs w:val="24"/>
                    </w:rPr>
                    <w:t>252,0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тыс.руб. из районного бюджета;</w:t>
                  </w:r>
                </w:p>
                <w:p w:rsidR="0084750A" w:rsidRDefault="0084750A" w:rsidP="0084750A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прочие субсидии бюджетам сельских поселений 8</w:t>
                  </w:r>
                  <w:r w:rsidR="00881836">
                    <w:rPr>
                      <w:color w:val="000000"/>
                      <w:sz w:val="24"/>
                      <w:szCs w:val="24"/>
                    </w:rPr>
                    <w:t>43,5</w:t>
                  </w:r>
                  <w:r>
                    <w:rPr>
                      <w:color w:val="000000"/>
                      <w:sz w:val="24"/>
                      <w:szCs w:val="24"/>
                    </w:rPr>
                    <w:t>тыс. руб</w:t>
                  </w:r>
                  <w:r w:rsidR="003E51E3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из краевого бюджета на строительство детской спортивной площадки;</w:t>
                  </w:r>
                </w:p>
                <w:p w:rsidR="0084750A" w:rsidRDefault="0084750A" w:rsidP="0084750A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  <w:r w:rsidR="00881836">
                    <w:rPr>
                      <w:color w:val="000000"/>
                      <w:sz w:val="24"/>
                      <w:szCs w:val="24"/>
                    </w:rPr>
                    <w:t xml:space="preserve">130,6 </w:t>
                  </w:r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уб.;</w:t>
                  </w:r>
                </w:p>
                <w:p w:rsidR="0084750A" w:rsidRDefault="0084750A" w:rsidP="0084750A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-иные межбюджетные трансферты</w:t>
                  </w:r>
                  <w:r w:rsidR="0088183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A0315">
                    <w:rPr>
                      <w:color w:val="000000"/>
                      <w:sz w:val="24"/>
                      <w:szCs w:val="24"/>
                    </w:rPr>
                    <w:t>исполнены на 91,1% ( при утвержденном плане при плане 1399,6 тыс</w:t>
                  </w:r>
                  <w:proofErr w:type="gramStart"/>
                  <w:r w:rsidR="004A0315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="004A0315">
                    <w:rPr>
                      <w:color w:val="000000"/>
                      <w:sz w:val="24"/>
                      <w:szCs w:val="24"/>
                    </w:rPr>
                    <w:t xml:space="preserve">уб. </w:t>
                  </w:r>
                  <w:r w:rsidR="004A0315" w:rsidRPr="00992C16">
                    <w:rPr>
                      <w:color w:val="000000"/>
                      <w:sz w:val="24"/>
                      <w:szCs w:val="24"/>
                    </w:rPr>
                    <w:t>фактически исполнение составило</w:t>
                  </w:r>
                  <w:r w:rsidR="004A03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881836">
                    <w:rPr>
                      <w:color w:val="000000"/>
                      <w:sz w:val="24"/>
                      <w:szCs w:val="24"/>
                    </w:rPr>
                    <w:t>188,3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тыс.руб.</w:t>
                  </w:r>
                  <w:r w:rsidR="004A0315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:rsidR="00A47417" w:rsidRDefault="00A47417" w:rsidP="00A47417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итогам 2023 года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исполнен</w:t>
                  </w:r>
                  <w:r>
                    <w:rPr>
                      <w:color w:val="000000"/>
                      <w:sz w:val="24"/>
                      <w:szCs w:val="24"/>
                    </w:rPr>
                    <w:t>ие бюджета по кассовым расходам составило 3430,0 тыс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уб. при плановых показателях 3677,9 тыс.руб. или</w:t>
                  </w:r>
                  <w:r w:rsidRPr="00992C16">
                    <w:rPr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color w:val="000000"/>
                      <w:sz w:val="24"/>
                      <w:szCs w:val="24"/>
                    </w:rPr>
                    <w:t>3,3%.</w:t>
                  </w:r>
                </w:p>
                <w:p w:rsidR="004358C0" w:rsidRDefault="00A47417" w:rsidP="004358C0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006E9D">
                    <w:rPr>
                      <w:color w:val="000000"/>
                      <w:sz w:val="24"/>
                      <w:szCs w:val="24"/>
                    </w:rPr>
                    <w:t>Раздел 01 "Общегосударственные вопросы" исполнен на 9</w:t>
                  </w:r>
                  <w:r>
                    <w:rPr>
                      <w:color w:val="000000"/>
                      <w:sz w:val="24"/>
                      <w:szCs w:val="24"/>
                    </w:rPr>
                    <w:t>9,8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%  (при  утвержденном  плане 14</w:t>
                  </w:r>
                  <w:r>
                    <w:rPr>
                      <w:color w:val="000000"/>
                      <w:sz w:val="24"/>
                      <w:szCs w:val="24"/>
                    </w:rPr>
                    <w:t>31,7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тыс</w:t>
                  </w:r>
                  <w:proofErr w:type="gramStart"/>
                  <w:r w:rsidRPr="00006E9D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006E9D">
                    <w:rPr>
                      <w:color w:val="000000"/>
                      <w:sz w:val="24"/>
                      <w:szCs w:val="24"/>
                    </w:rPr>
                    <w:t>уб. исполнено 1</w:t>
                  </w:r>
                  <w:r>
                    <w:rPr>
                      <w:color w:val="000000"/>
                      <w:sz w:val="24"/>
                      <w:szCs w:val="24"/>
                    </w:rPr>
                    <w:t>429,1 тыс.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>руб.) Основную часть данного раздела составляют расходы на оплату труда  921 тыс.руб., из них 4</w:t>
                  </w:r>
                  <w:r>
                    <w:rPr>
                      <w:color w:val="000000"/>
                      <w:sz w:val="24"/>
                      <w:szCs w:val="24"/>
                    </w:rPr>
                    <w:t>31,5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тыс. руб. было потрачено из собственных средств поселения и  </w:t>
                  </w:r>
                  <w:r>
                    <w:rPr>
                      <w:color w:val="000000"/>
                      <w:sz w:val="24"/>
                      <w:szCs w:val="24"/>
                    </w:rPr>
                    <w:t>489,5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тыс. руб. за счет прочих межбюджетных трансфертов передаваемые бюджетам сельских поселений. </w:t>
                  </w:r>
                  <w:proofErr w:type="gramStart"/>
                  <w:r w:rsidRPr="00006E9D"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 осуществлялась за счет с</w:t>
                  </w:r>
                  <w:r>
                    <w:rPr>
                      <w:color w:val="000000"/>
                      <w:sz w:val="24"/>
                      <w:szCs w:val="24"/>
                    </w:rPr>
                    <w:t>обственных средств поселения и составила 6,8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006E9D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, также из своих средств были оплачены расходы  на средства массовой информации </w:t>
                  </w:r>
                  <w:r w:rsidR="004358C0">
                    <w:rPr>
                      <w:color w:val="000000"/>
                      <w:sz w:val="24"/>
                      <w:szCs w:val="24"/>
                    </w:rPr>
                    <w:t>4,7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тыс. руб.</w:t>
                  </w:r>
                  <w:r w:rsidR="004358C0">
                    <w:rPr>
                      <w:color w:val="000000"/>
                      <w:sz w:val="24"/>
                      <w:szCs w:val="24"/>
                    </w:rPr>
                    <w:t xml:space="preserve">,  определение рыночной стоимости (оценка независимого эксперта) для продажи автомобиля составило 8,5 тыс. руб.,  расходы на электроэнергию                 22,9 тыс. руб. 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>и 4</w:t>
                  </w:r>
                  <w:r w:rsidR="004358C0">
                    <w:rPr>
                      <w:color w:val="000000"/>
                      <w:sz w:val="24"/>
                      <w:szCs w:val="24"/>
                    </w:rPr>
                    <w:t>74,7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тыс. руб. прочая закупка товаров и услуг.</w:t>
                  </w:r>
                  <w:proofErr w:type="gramEnd"/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358C0">
                    <w:rPr>
                      <w:color w:val="000000"/>
                      <w:sz w:val="24"/>
                      <w:szCs w:val="24"/>
                    </w:rPr>
                    <w:t xml:space="preserve"> В 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прочую закупку товаров работ и услуг входит:  </w:t>
                  </w:r>
                  <w:r w:rsidR="004358C0">
                    <w:rPr>
                      <w:color w:val="000000"/>
                      <w:sz w:val="24"/>
                      <w:szCs w:val="24"/>
                    </w:rPr>
                    <w:t>28,9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4358C0" w:rsidRPr="00006E9D"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proofErr w:type="gramEnd"/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руб. оплата услуг связи ПАО </w:t>
                  </w:r>
                  <w:proofErr w:type="spellStart"/>
                  <w:r w:rsidR="004358C0" w:rsidRPr="00006E9D">
                    <w:rPr>
                      <w:color w:val="000000"/>
                      <w:sz w:val="24"/>
                      <w:szCs w:val="24"/>
                    </w:rPr>
                    <w:t>Ростелеком</w:t>
                  </w:r>
                  <w:proofErr w:type="spellEnd"/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r w:rsidR="004358C0">
                    <w:rPr>
                      <w:color w:val="000000"/>
                      <w:sz w:val="24"/>
                      <w:szCs w:val="24"/>
                    </w:rPr>
                    <w:t>1,8 тыс. руб.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>почтовые расходы, 1,</w:t>
                  </w:r>
                  <w:r w:rsidR="0036239A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тыс. руб. заправка картриджа, 7</w:t>
                  </w:r>
                  <w:r w:rsidR="0036239A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36239A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="004358C0" w:rsidRPr="00006E9D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расходы на бензин в автомобиль, </w:t>
                  </w:r>
                  <w:r w:rsidR="00F34B3C">
                    <w:rPr>
                      <w:color w:val="000000"/>
                      <w:sz w:val="24"/>
                      <w:szCs w:val="24"/>
                    </w:rPr>
                    <w:t xml:space="preserve">102,3 тыс. руб. на приобретение угля для отопления здания, </w:t>
                  </w:r>
                  <w:r w:rsidR="00702B34">
                    <w:rPr>
                      <w:color w:val="000000"/>
                      <w:sz w:val="24"/>
                      <w:szCs w:val="24"/>
                    </w:rPr>
                    <w:t>2,6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тыс. руб. на канцелярские товары, </w:t>
                  </w:r>
                  <w:r w:rsidR="00702B34">
                    <w:rPr>
                      <w:color w:val="000000"/>
                      <w:sz w:val="24"/>
                      <w:szCs w:val="24"/>
                    </w:rPr>
                    <w:t>33,8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358C0" w:rsidRPr="00006E9D"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 руб. на прочие товары</w:t>
                  </w:r>
                  <w:r w:rsidR="00F34B3C">
                    <w:rPr>
                      <w:color w:val="000000"/>
                      <w:sz w:val="24"/>
                      <w:szCs w:val="24"/>
                    </w:rPr>
                    <w:t xml:space="preserve">, 78,1 </w:t>
                  </w:r>
                  <w:proofErr w:type="spellStart"/>
                  <w:r w:rsidR="00F34B3C"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r w:rsidR="00F34B3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34B3C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="00F34B3C">
                    <w:rPr>
                      <w:color w:val="000000"/>
                      <w:sz w:val="24"/>
                      <w:szCs w:val="24"/>
                    </w:rPr>
                    <w:t xml:space="preserve"> на оплату по договору ГПХ за влажную уборку в помещении</w:t>
                  </w:r>
                  <w:r w:rsidR="004358C0" w:rsidRPr="00006E9D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702B34" w:rsidRDefault="00702B34" w:rsidP="00702B34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Раздел 02   "Национальная оборона" исполнен на 100 % (при плане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130,6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proofErr w:type="gramEnd"/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руб. исполнено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130,6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руб.)  Из них </w:t>
                  </w:r>
                  <w:r>
                    <w:rPr>
                      <w:color w:val="000000"/>
                      <w:sz w:val="24"/>
                      <w:szCs w:val="24"/>
                    </w:rPr>
                    <w:t>124,0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6E9D">
                    <w:rPr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на оплату труда,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6,6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руб. 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для нужд сотрудника военно-учетного стола. Данные расходы были оплачены за счет субвенций бюджетам муниципальных образований на осуществление первичного воинского учета на территориях, где отсутствуют военные комиссариаты.</w:t>
                  </w:r>
                </w:p>
                <w:p w:rsidR="00456F97" w:rsidRDefault="00456F97" w:rsidP="00456F97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Раздел 03 "Национальная безопасность и  правоохранительная деятельность"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не 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исполнен </w:t>
                  </w:r>
                  <w:r>
                    <w:rPr>
                      <w:color w:val="000000"/>
                      <w:sz w:val="24"/>
                      <w:szCs w:val="24"/>
                    </w:rPr>
                    <w:t>пр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и </w:t>
                  </w:r>
                  <w:r>
                    <w:rPr>
                      <w:color w:val="000000"/>
                      <w:sz w:val="24"/>
                      <w:szCs w:val="24"/>
                    </w:rPr>
                    <w:t>плане 30 тыс. руб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="00752200">
                    <w:rPr>
                      <w:color w:val="000000"/>
                      <w:sz w:val="24"/>
                      <w:szCs w:val="24"/>
                    </w:rPr>
                    <w:t>Расходы по данному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 раздел</w:t>
                  </w:r>
                  <w:r w:rsidR="00752200">
                    <w:rPr>
                      <w:color w:val="000000"/>
                      <w:sz w:val="24"/>
                      <w:szCs w:val="24"/>
                    </w:rPr>
                    <w:t>у не пр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="00752200">
                    <w:rPr>
                      <w:color w:val="000000"/>
                      <w:sz w:val="24"/>
                      <w:szCs w:val="24"/>
                    </w:rPr>
                    <w:t>изводились</w:t>
                  </w:r>
                  <w:r w:rsidRPr="00006E9D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752200" w:rsidRPr="00AB1055" w:rsidRDefault="00752200" w:rsidP="00752200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Раздел 04" Национальная экономика" исполнен на </w:t>
                  </w:r>
                  <w:r>
                    <w:rPr>
                      <w:color w:val="000000"/>
                      <w:sz w:val="24"/>
                      <w:szCs w:val="24"/>
                    </w:rPr>
                    <w:t>58,1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% ( при   плане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504,6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proofErr w:type="gramEnd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руб., фактически исполнено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293,3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руб.).</w:t>
                  </w:r>
                </w:p>
                <w:p w:rsidR="00752200" w:rsidRDefault="00752200" w:rsidP="00752200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Расходы на дорожное хозяйство (дорожные фонды) в сумме </w:t>
                  </w:r>
                  <w:r>
                    <w:rPr>
                      <w:color w:val="000000"/>
                      <w:sz w:val="24"/>
                      <w:szCs w:val="24"/>
                    </w:rPr>
                    <w:t>266,0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тыс</w:t>
                  </w:r>
                  <w:proofErr w:type="gramStart"/>
                  <w:r w:rsidRPr="00AB1055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уб. за счет иных межбюджетных трансфертов передаваемые бюджетам сельских поселений. </w:t>
                  </w:r>
                  <w:r>
                    <w:rPr>
                      <w:color w:val="000000"/>
                      <w:sz w:val="24"/>
                      <w:szCs w:val="24"/>
                    </w:rPr>
                    <w:t>27,3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тыс.руб. на мероприятия по землеустройству и земле использованию (кадастровые работы по оформлению земли) за счет собственных средств поселения.</w:t>
                  </w:r>
                </w:p>
                <w:p w:rsidR="00E160BC" w:rsidRPr="00AB1055" w:rsidRDefault="00E160BC" w:rsidP="00E160BC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Раздел 05"Жилищно-коммунальное хозяйство" исполнен на </w:t>
                  </w:r>
                  <w:r>
                    <w:rPr>
                      <w:color w:val="000000"/>
                      <w:sz w:val="24"/>
                      <w:szCs w:val="24"/>
                    </w:rPr>
                    <w:t>99,7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% ( при утвержденном  плане 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227,6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proofErr w:type="gramEnd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1055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фактически исполнено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1223,7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руб.).</w:t>
                  </w:r>
                </w:p>
                <w:p w:rsidR="00E160BC" w:rsidRDefault="00E160BC" w:rsidP="00E160BC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По подразделу «Благоустройство» произведены  расходы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на уличное фонарное освещение – 56,1 тыс. руб., 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>на организацию мест захоронения  –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2,3 тыс.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руб. за счет иных межбюджетных трансфертов передаваемые бюджетам сельских поселений, прочие расходы на ремонт памятника</w:t>
                  </w:r>
                  <w:r w:rsidR="00820F53">
                    <w:rPr>
                      <w:color w:val="000000"/>
                      <w:sz w:val="24"/>
                      <w:szCs w:val="24"/>
                    </w:rPr>
                    <w:t xml:space="preserve"> 15,8 тыс. </w:t>
                  </w:r>
                  <w:proofErr w:type="spellStart"/>
                  <w:r w:rsidR="00820F53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="00820F53">
                    <w:rPr>
                      <w:color w:val="000000"/>
                      <w:sz w:val="24"/>
                      <w:szCs w:val="24"/>
                    </w:rPr>
                    <w:t>, из них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lastRenderedPageBreak/>
                    <w:t>в сумме 10,0тыс. рублей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за счет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за счет иных межбюджетных трансфертов передаваемые бюджетам сельских поселений</w:t>
                  </w:r>
                  <w:r w:rsidR="00820F53">
                    <w:rPr>
                      <w:color w:val="000000"/>
                      <w:sz w:val="24"/>
                      <w:szCs w:val="24"/>
                    </w:rPr>
                    <w:t xml:space="preserve">, 5,8 </w:t>
                  </w:r>
                  <w:proofErr w:type="spellStart"/>
                  <w:proofErr w:type="gramStart"/>
                  <w:r w:rsidR="00820F53">
                    <w:rPr>
                      <w:color w:val="000000"/>
                      <w:sz w:val="24"/>
                      <w:szCs w:val="24"/>
                    </w:rPr>
                    <w:t>тыс</w:t>
                  </w:r>
                  <w:proofErr w:type="spellEnd"/>
                  <w:proofErr w:type="gramEnd"/>
                  <w:r w:rsidR="00820F5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20F53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="00820F53">
                    <w:rPr>
                      <w:color w:val="000000"/>
                      <w:sz w:val="24"/>
                      <w:szCs w:val="24"/>
                    </w:rPr>
                    <w:t xml:space="preserve"> за счет собственных средств поселения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>; расходы на сбор и вывоз мусора  в сумме 40,0 тыс</w:t>
                  </w:r>
                  <w:proofErr w:type="gramStart"/>
                  <w:r w:rsidRPr="00AB1055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AB1055">
                    <w:rPr>
                      <w:color w:val="000000"/>
                      <w:sz w:val="24"/>
                      <w:szCs w:val="24"/>
                    </w:rPr>
                    <w:t>ублей</w:t>
                  </w:r>
                  <w:r w:rsidR="006C6104">
                    <w:rPr>
                      <w:color w:val="000000"/>
                      <w:sz w:val="24"/>
                      <w:szCs w:val="24"/>
                    </w:rPr>
                    <w:t xml:space="preserve"> за счет</w:t>
                  </w:r>
                  <w:r w:rsidR="006C6104" w:rsidRPr="00AB1055">
                    <w:rPr>
                      <w:color w:val="000000"/>
                      <w:sz w:val="24"/>
                      <w:szCs w:val="24"/>
                    </w:rPr>
                    <w:t xml:space="preserve"> за счет иных межбюджетных трансфертов передаваемые бюджетам сельских поселений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За счет прочих субсидий </w:t>
                  </w:r>
                  <w:r w:rsidR="006C6104">
                    <w:rPr>
                      <w:color w:val="000000"/>
                      <w:sz w:val="24"/>
                      <w:szCs w:val="24"/>
                    </w:rPr>
                    <w:t>из краевого бюджета 843,5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тыс., за счет прочих межбюджетных трансфертов </w:t>
                  </w:r>
                  <w:r w:rsidR="006C6104" w:rsidRPr="00AB1055">
                    <w:rPr>
                      <w:color w:val="000000"/>
                      <w:sz w:val="24"/>
                      <w:szCs w:val="24"/>
                    </w:rPr>
                    <w:t xml:space="preserve">передаваемые бюджетам сельских поселений 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6C6104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6C6104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AB1055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и инициативных платежей зачисляемых в бюджеты сельских поселений </w:t>
                  </w:r>
                  <w:r w:rsidR="006C6104">
                    <w:rPr>
                      <w:color w:val="000000"/>
                      <w:sz w:val="24"/>
                      <w:szCs w:val="24"/>
                    </w:rPr>
                    <w:t>9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6C6104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тыс. руб. была построена по программе поддержки местных инициатив детская спортивная площадка, расходы на нее составили </w:t>
                  </w:r>
                  <w:r w:rsidR="006C6104">
                    <w:rPr>
                      <w:color w:val="000000"/>
                      <w:sz w:val="24"/>
                      <w:szCs w:val="24"/>
                    </w:rPr>
                    <w:t>1109,5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тыс. руб.</w:t>
                  </w:r>
                  <w:proofErr w:type="gramEnd"/>
                </w:p>
                <w:p w:rsidR="00AB1055" w:rsidRPr="00AB1055" w:rsidRDefault="00AB1055" w:rsidP="00AB1055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AB1055">
                    <w:rPr>
                      <w:color w:val="000000"/>
                      <w:sz w:val="24"/>
                      <w:szCs w:val="24"/>
                    </w:rPr>
                    <w:t>Раздел 08" Культур</w:t>
                  </w:r>
                  <w:r w:rsidR="00B671EF">
                    <w:rPr>
                      <w:color w:val="000000"/>
                      <w:sz w:val="24"/>
                      <w:szCs w:val="24"/>
                    </w:rPr>
                    <w:t>а, кинематография" исполнен на 100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 % </w:t>
                  </w:r>
                  <w:proofErr w:type="gramStart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при  утвержденном  плане </w:t>
                  </w:r>
                  <w:r w:rsidR="00B671EF">
                    <w:rPr>
                      <w:color w:val="000000"/>
                      <w:sz w:val="24"/>
                      <w:szCs w:val="24"/>
                    </w:rPr>
                    <w:t>353,4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тыс. руб., фактически исполнено  </w:t>
                  </w:r>
                  <w:r w:rsidR="00B671EF">
                    <w:rPr>
                      <w:color w:val="000000"/>
                      <w:sz w:val="24"/>
                      <w:szCs w:val="24"/>
                    </w:rPr>
                    <w:t>353,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>4 тыс. руб.)</w:t>
                  </w:r>
                </w:p>
                <w:p w:rsidR="00886A71" w:rsidRDefault="00AB1055" w:rsidP="00AB1055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По данному разделу реализованы расходы на заработную плату сотрудников культуры  в сумме </w:t>
                  </w:r>
                  <w:r w:rsidR="00F260AA">
                    <w:rPr>
                      <w:color w:val="000000"/>
                      <w:sz w:val="24"/>
                      <w:szCs w:val="24"/>
                    </w:rPr>
                    <w:t>182,7</w:t>
                  </w:r>
                  <w:r w:rsidRPr="00AB1055">
                    <w:rPr>
                      <w:color w:val="000000"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AB1055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из них за счет межбюджетных трансфер</w:t>
                  </w:r>
                  <w:r w:rsidR="00886A71">
                    <w:rPr>
                      <w:color w:val="000000"/>
                      <w:sz w:val="24"/>
                      <w:szCs w:val="24"/>
                    </w:rPr>
                    <w:t xml:space="preserve">тов передаваемых в бюджеты сельских поселений </w:t>
                  </w:r>
                  <w:r w:rsidR="00B671EF">
                    <w:rPr>
                      <w:color w:val="000000"/>
                      <w:sz w:val="24"/>
                      <w:szCs w:val="24"/>
                    </w:rPr>
                    <w:t>110,5</w:t>
                  </w:r>
                  <w:r w:rsidR="00886A71">
                    <w:rPr>
                      <w:color w:val="000000"/>
                      <w:sz w:val="24"/>
                      <w:szCs w:val="24"/>
                    </w:rPr>
                    <w:t xml:space="preserve"> тыс</w:t>
                  </w:r>
                  <w:proofErr w:type="gramStart"/>
                  <w:r w:rsidR="00886A71"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="00886A71">
                    <w:rPr>
                      <w:color w:val="000000"/>
                      <w:sz w:val="24"/>
                      <w:szCs w:val="24"/>
                    </w:rPr>
                    <w:t xml:space="preserve">ублей, за счет собственных средств и дотаций на выравнивание бюджетной обеспеченности </w:t>
                  </w:r>
                  <w:r w:rsidR="00F260AA">
                    <w:rPr>
                      <w:color w:val="000000"/>
                      <w:sz w:val="24"/>
                      <w:szCs w:val="24"/>
                    </w:rPr>
                    <w:t>72,2</w:t>
                  </w:r>
                  <w:r w:rsidR="00886A71">
                    <w:rPr>
                      <w:color w:val="000000"/>
                      <w:sz w:val="24"/>
                      <w:szCs w:val="24"/>
                    </w:rPr>
                    <w:t xml:space="preserve"> тыс. рублей..</w:t>
                  </w:r>
                </w:p>
                <w:p w:rsidR="00AB1055" w:rsidRDefault="00886A71" w:rsidP="00AB1055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</w:t>
                  </w:r>
                  <w:r w:rsidR="00AB1055" w:rsidRPr="00AB1055">
                    <w:rPr>
                      <w:color w:val="000000"/>
                      <w:sz w:val="24"/>
                      <w:szCs w:val="24"/>
                    </w:rPr>
                    <w:t xml:space="preserve">а счет иных межбюджетных трансфертов передаваемые бюджетам сельских поселений </w:t>
                  </w:r>
                  <w:r>
                    <w:rPr>
                      <w:color w:val="000000"/>
                      <w:sz w:val="24"/>
                      <w:szCs w:val="24"/>
                    </w:rPr>
                    <w:t>была осуществлена</w:t>
                  </w:r>
                  <w:r w:rsidR="00AB1055" w:rsidRPr="00AB1055">
                    <w:rPr>
                      <w:color w:val="000000"/>
                      <w:sz w:val="24"/>
                      <w:szCs w:val="24"/>
                    </w:rPr>
                    <w:t xml:space="preserve"> закупк</w:t>
                  </w:r>
                  <w:r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="00AB1055" w:rsidRPr="00AB1055">
                    <w:rPr>
                      <w:color w:val="000000"/>
                      <w:sz w:val="24"/>
                      <w:szCs w:val="24"/>
                    </w:rPr>
                    <w:t xml:space="preserve"> товаров, работ и услуг для обеспечения государственных  (муниципальных) нужд на приобретение оборудования для проведения мероприятий в сфере культуры – </w:t>
                  </w: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  <w:r w:rsidR="00AB1055" w:rsidRPr="00AB1055">
                    <w:rPr>
                      <w:color w:val="000000"/>
                      <w:sz w:val="24"/>
                      <w:szCs w:val="24"/>
                    </w:rPr>
                    <w:t xml:space="preserve"> тыс. руб.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а также за счет собственных средств </w:t>
                  </w:r>
                  <w:r w:rsidR="00F260AA">
                    <w:rPr>
                      <w:color w:val="000000"/>
                      <w:sz w:val="24"/>
                      <w:szCs w:val="24"/>
                    </w:rPr>
                    <w:t>70</w:t>
                  </w:r>
                  <w:r>
                    <w:rPr>
                      <w:color w:val="000000"/>
                      <w:sz w:val="24"/>
                      <w:szCs w:val="24"/>
                    </w:rPr>
                    <w:t>,6 тыс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ублей</w:t>
                  </w:r>
                  <w:r w:rsidR="00F260AA">
                    <w:rPr>
                      <w:color w:val="000000"/>
                      <w:sz w:val="24"/>
                      <w:szCs w:val="24"/>
                    </w:rPr>
                    <w:t xml:space="preserve">, из них 62,5 тыс. руб. израсходовано на оплату по договору ГПХ за влажную уборку в помещении, 8,1 тыс. </w:t>
                  </w:r>
                  <w:proofErr w:type="spellStart"/>
                  <w:r w:rsidR="00F260AA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="00F260AA">
                    <w:rPr>
                      <w:color w:val="000000"/>
                      <w:sz w:val="24"/>
                      <w:szCs w:val="24"/>
                    </w:rPr>
                    <w:t xml:space="preserve"> израсходовано на приобретение канцелярских принадлежностей (0,5 тыс. руб.) и на проведение мероприятий (7,6 тыс. руб.)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27C04" w:rsidRDefault="00E27C04" w:rsidP="002D3516">
                  <w:pPr>
                    <w:ind w:firstLine="709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474793" w:rsidRPr="00474793" w:rsidRDefault="00474793" w:rsidP="002D3516">
                  <w:pPr>
                    <w:ind w:firstLine="709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93647">
                    <w:rPr>
                      <w:b/>
                      <w:sz w:val="24"/>
                      <w:szCs w:val="24"/>
                    </w:rPr>
                    <w:t>Раздел 4 «Анализ</w:t>
                  </w:r>
                  <w:r w:rsidRPr="00474793">
                    <w:rPr>
                      <w:b/>
                      <w:color w:val="000000"/>
                      <w:sz w:val="24"/>
                      <w:szCs w:val="24"/>
                    </w:rPr>
                    <w:t xml:space="preserve"> показателей отчетности учреждения»</w:t>
                  </w:r>
                </w:p>
              </w:tc>
            </w:tr>
            <w:tr w:rsidR="00992C16" w:rsidRPr="0006299F" w:rsidTr="00474793">
              <w:trPr>
                <w:gridBefore w:val="2"/>
                <w:wBefore w:w="238" w:type="dxa"/>
              </w:trPr>
              <w:tc>
                <w:tcPr>
                  <w:tcW w:w="836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2C16" w:rsidRPr="00992C16" w:rsidRDefault="00992C16" w:rsidP="00992C1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92C16" w:rsidTr="00474793">
              <w:trPr>
                <w:gridBefore w:val="2"/>
                <w:wBefore w:w="238" w:type="dxa"/>
              </w:trPr>
              <w:tc>
                <w:tcPr>
                  <w:tcW w:w="836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>Годовая бухгалтерская отчетность  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Администрации </w:t>
                  </w:r>
                  <w:r w:rsidR="00EA1D69">
                    <w:rPr>
                      <w:color w:val="000000"/>
                      <w:sz w:val="24"/>
                      <w:szCs w:val="24"/>
                    </w:rPr>
                    <w:t>Бастанс</w:t>
                  </w:r>
                  <w:r>
                    <w:rPr>
                      <w:color w:val="000000"/>
                      <w:sz w:val="24"/>
                      <w:szCs w:val="24"/>
                    </w:rPr>
                    <w:t>кого сельсовета Михайловского района,</w:t>
                  </w:r>
                  <w:r w:rsidR="0086436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Алтайского края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" формируется в соответствии с требованиями Инструкции о порядке составления и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33н. 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>В   годовом отчете бюджетных (автономных) учреждений отражены следующие показатели:</w:t>
                  </w:r>
                </w:p>
                <w:p w:rsid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F65AD">
                    <w:rPr>
                      <w:b/>
                      <w:color w:val="000000"/>
                      <w:sz w:val="24"/>
                      <w:szCs w:val="24"/>
                    </w:rPr>
                    <w:t> в отчете ф. 0503</w:t>
                  </w:r>
                  <w:r w:rsidR="00772F22" w:rsidRPr="007F65AD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Pr="007F65AD">
                    <w:rPr>
                      <w:b/>
                      <w:color w:val="000000"/>
                      <w:sz w:val="24"/>
                      <w:szCs w:val="24"/>
                    </w:rPr>
                    <w:t>21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«Отчет о финансовых результатах деятельности учреждения»:</w:t>
                  </w:r>
                </w:p>
                <w:p w:rsidR="00E60F93" w:rsidRDefault="004E568D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 счету 401.10.111 «Налоги» в сумме </w:t>
                  </w:r>
                  <w:r w:rsidR="005A0E80" w:rsidRPr="005A0E8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881 776,18</w:t>
                  </w:r>
                  <w:r w:rsidR="005A0E8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E60F93" w:rsidRPr="005A0E80">
                    <w:rPr>
                      <w:color w:val="000000"/>
                      <w:sz w:val="24"/>
                      <w:szCs w:val="24"/>
                    </w:rPr>
                    <w:t>рублей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E60F93" w:rsidRDefault="00E60F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счету 401.10.12</w:t>
                  </w:r>
                  <w:r w:rsidR="00793647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«</w:t>
                  </w:r>
                  <w:r w:rsidR="00793647">
                    <w:rPr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» на сумму </w:t>
                  </w:r>
                  <w:r w:rsidR="00793647" w:rsidRPr="00793647">
                    <w:rPr>
                      <w:color w:val="000000"/>
                      <w:sz w:val="24"/>
                      <w:szCs w:val="24"/>
                    </w:rPr>
                    <w:t xml:space="preserve">154 830,52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рублей от сдачи в аренду </w:t>
                  </w:r>
                  <w:r w:rsidR="00793647">
                    <w:rPr>
                      <w:color w:val="000000"/>
                      <w:sz w:val="24"/>
                      <w:szCs w:val="24"/>
                    </w:rPr>
                    <w:t>имущества ПАО «</w:t>
                  </w:r>
                  <w:proofErr w:type="spellStart"/>
                  <w:r w:rsidR="00793647">
                    <w:rPr>
                      <w:color w:val="000000"/>
                      <w:sz w:val="24"/>
                      <w:szCs w:val="24"/>
                    </w:rPr>
                    <w:t>Ростелеком</w:t>
                  </w:r>
                  <w:proofErr w:type="spellEnd"/>
                  <w:r w:rsidR="00793647">
                    <w:rPr>
                      <w:color w:val="000000"/>
                      <w:sz w:val="24"/>
                      <w:szCs w:val="24"/>
                    </w:rPr>
                    <w:t xml:space="preserve">» на сумму 131 880,00 рублей и 22950,52 рублей </w:t>
                  </w:r>
                  <w:r w:rsidR="00D61D30">
                    <w:rPr>
                      <w:color w:val="000000"/>
                      <w:sz w:val="24"/>
                      <w:szCs w:val="24"/>
                    </w:rPr>
                    <w:t>АО «Почта России»</w:t>
                  </w:r>
                </w:p>
                <w:p w:rsidR="00E60F93" w:rsidRDefault="00E60F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счету 401.</w:t>
                  </w:r>
                  <w:r w:rsidRPr="00C06315">
                    <w:rPr>
                      <w:sz w:val="24"/>
                      <w:szCs w:val="24"/>
                    </w:rPr>
                    <w:t>10.131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«Доходы от оказания платных услуг» на сумму </w:t>
                  </w:r>
                  <w:r w:rsidR="00C06315" w:rsidRPr="00C06315">
                    <w:rPr>
                      <w:color w:val="000000"/>
                      <w:sz w:val="24"/>
                      <w:szCs w:val="24"/>
                    </w:rPr>
                    <w:t>16 380,00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рублей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 от проведения дискотек</w:t>
                  </w:r>
                </w:p>
                <w:p w:rsidR="00E60F93" w:rsidRDefault="00E60F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счету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401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135 «Доходы по условным арендным платежам» на сумму 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C06315" w:rsidRPr="00C06315">
                    <w:rPr>
                      <w:color w:val="000000"/>
                      <w:sz w:val="24"/>
                      <w:szCs w:val="24"/>
                    </w:rPr>
                    <w:t>368,68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рублей</w:t>
                  </w:r>
                </w:p>
                <w:p w:rsidR="00C06315" w:rsidRPr="00C06315" w:rsidRDefault="00C06315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06315">
                    <w:rPr>
                      <w:color w:val="000000"/>
                      <w:sz w:val="24"/>
                      <w:szCs w:val="24"/>
                    </w:rPr>
                    <w:t xml:space="preserve">по счету учета 401.10.172 «Доходы от выбытия активов» </w:t>
                  </w:r>
                  <w:r>
                    <w:rPr>
                      <w:color w:val="000000"/>
                      <w:sz w:val="24"/>
                      <w:szCs w:val="24"/>
                    </w:rPr>
                    <w:t>на</w:t>
                  </w:r>
                  <w:r w:rsidRPr="00C06315">
                    <w:rPr>
                      <w:color w:val="000000"/>
                      <w:sz w:val="24"/>
                      <w:szCs w:val="24"/>
                    </w:rPr>
                    <w:t xml:space="preserve"> сумм</w:t>
                  </w:r>
                  <w:r>
                    <w:rPr>
                      <w:color w:val="000000"/>
                      <w:sz w:val="24"/>
                      <w:szCs w:val="24"/>
                    </w:rPr>
                    <w:t>у</w:t>
                  </w:r>
                  <w:r w:rsidRPr="00C06315">
                    <w:rPr>
                      <w:color w:val="000000"/>
                      <w:sz w:val="24"/>
                      <w:szCs w:val="24"/>
                    </w:rPr>
                    <w:t xml:space="preserve">  60800,00  связано с продажей автомобиля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F65AD">
                    <w:rPr>
                      <w:b/>
                      <w:color w:val="000000"/>
                      <w:sz w:val="24"/>
                      <w:szCs w:val="24"/>
                    </w:rPr>
                    <w:t>в отчете   ф.0503</w:t>
                  </w:r>
                  <w:r w:rsidR="007F65AD" w:rsidRPr="007F65AD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Pr="007F65AD">
                    <w:rPr>
                      <w:b/>
                      <w:color w:val="000000"/>
                      <w:sz w:val="24"/>
                      <w:szCs w:val="24"/>
                    </w:rPr>
                    <w:t>30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«Баланс государственного (муниципального) учреждения»: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по    счету учета    401.40.000    «Доходы будущих периодов» отражена субсидия 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учреждения, выделенная  по соглашению на 2024-26гг. в сумме </w:t>
                  </w:r>
                  <w:r w:rsidR="00194284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 541 716</w:t>
                  </w:r>
                  <w:r w:rsidR="00194284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00</w:t>
                  </w:r>
                  <w:r w:rsidR="007F65A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рублей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>по счету учету 401.60.000 «Резерв предстоящих расходов» сформирован на оплату отпусков в учреждении  на 202</w:t>
                  </w:r>
                  <w:r w:rsidR="00414E6E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год  в сумме </w:t>
                  </w:r>
                  <w:r w:rsidR="00C06315" w:rsidRPr="00C06315">
                    <w:rPr>
                      <w:color w:val="000000"/>
                      <w:sz w:val="24"/>
                      <w:szCs w:val="24"/>
                    </w:rPr>
                    <w:t>46175,94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06315">
                    <w:rPr>
                      <w:color w:val="000000"/>
                      <w:sz w:val="24"/>
                      <w:szCs w:val="24"/>
                    </w:rPr>
                    <w:t>руб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., в том числе: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по  КОСГУ 211 «Заработная плата» в сумме </w:t>
                  </w:r>
                  <w:r w:rsidR="00C06315" w:rsidRPr="00C06315">
                    <w:rPr>
                      <w:color w:val="000000"/>
                      <w:sz w:val="24"/>
                      <w:szCs w:val="24"/>
                    </w:rPr>
                    <w:t>37275,21</w:t>
                  </w:r>
                  <w:r w:rsidR="00C06315">
                    <w:rPr>
                      <w:rFonts w:ascii="Segoe UI" w:hAnsi="Segoe UI" w:cs="Segoe UI"/>
                      <w:color w:val="000000"/>
                    </w:rPr>
                    <w:t xml:space="preserve"> 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руб. 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           КОСГУ 213 «Начисления на выплаты по оплате труда» в сумме 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8900,73 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руб. 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в справке о наличии имущества и обязательств на </w:t>
                  </w:r>
                  <w:proofErr w:type="spellStart"/>
                  <w:r w:rsidRPr="00474793">
                    <w:rPr>
                      <w:color w:val="000000"/>
                      <w:sz w:val="24"/>
                      <w:szCs w:val="24"/>
                    </w:rPr>
                    <w:t>забалансовых</w:t>
                  </w:r>
                  <w:proofErr w:type="spellEnd"/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счетах в составе Баланса: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 по счету учета 02 «материальные ценности на хранении» – 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4886,00 </w:t>
                  </w:r>
                  <w:proofErr w:type="spellStart"/>
                  <w:r w:rsidR="00C06315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>по счету  учета 03 "бланки строгой отчетности"-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633CB9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39 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шт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.,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по счету учета 21 основные средства в эксплуатации- </w:t>
                  </w:r>
                  <w:r w:rsidR="00633CB9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23 288,17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рублей</w:t>
                  </w:r>
                </w:p>
                <w:p w:rsidR="00474793" w:rsidRPr="00474793" w:rsidRDefault="00C06315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в отчете ф. 05031</w:t>
                  </w:r>
                  <w:r w:rsidR="00474793" w:rsidRPr="00633CB9">
                    <w:rPr>
                      <w:b/>
                      <w:color w:val="000000"/>
                      <w:sz w:val="24"/>
                      <w:szCs w:val="24"/>
                    </w:rPr>
                    <w:t>68</w:t>
                  </w:r>
                  <w:r w:rsidR="00474793" w:rsidRPr="00474793">
                    <w:rPr>
                      <w:color w:val="000000"/>
                      <w:sz w:val="24"/>
                      <w:szCs w:val="24"/>
                    </w:rPr>
                    <w:t xml:space="preserve"> « Сведения о движении нефинансовых активов учреждения»: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>На 01.01.2024 балансовая стоимость нефинансовых активов составила  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>540 281,20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 руб. из них: 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основных средств (101) – 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540 281,20 </w:t>
                  </w:r>
                  <w:proofErr w:type="spellStart"/>
                  <w:r w:rsidR="00C06315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материальных запасов (105) – </w:t>
                  </w:r>
                  <w:r w:rsidR="00D11D64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C06315">
                    <w:rPr>
                      <w:color w:val="000000"/>
                      <w:sz w:val="24"/>
                      <w:szCs w:val="24"/>
                    </w:rPr>
                    <w:t xml:space="preserve">3 371,55 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руб., прав пользования нефинансовыми активами (111) на сумму </w:t>
                  </w:r>
                  <w:r w:rsidR="00D11D64">
                    <w:rPr>
                      <w:color w:val="000000"/>
                      <w:sz w:val="24"/>
                      <w:szCs w:val="24"/>
                    </w:rPr>
                    <w:t>14400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,00руб.</w:t>
                  </w:r>
                  <w:r w:rsidR="00490FA8">
                    <w:rPr>
                      <w:color w:val="000000"/>
                      <w:sz w:val="24"/>
                      <w:szCs w:val="24"/>
                    </w:rPr>
                    <w:t xml:space="preserve"> Балансовая </w:t>
                  </w:r>
                  <w:r w:rsidR="00490FA8" w:rsidRPr="00C06315">
                    <w:rPr>
                      <w:color w:val="000000"/>
                      <w:sz w:val="24"/>
                      <w:szCs w:val="24"/>
                    </w:rPr>
                    <w:t xml:space="preserve">стоимость </w:t>
                  </w:r>
                  <w:r w:rsidR="00C06315" w:rsidRPr="00C06315">
                    <w:rPr>
                      <w:color w:val="000000"/>
                      <w:sz w:val="24"/>
                      <w:szCs w:val="24"/>
                    </w:rPr>
                    <w:t xml:space="preserve">недвижимого имущества казны составила 13 577 382,88 </w:t>
                  </w:r>
                  <w:proofErr w:type="spellStart"/>
                  <w:r w:rsidR="00C06315" w:rsidRPr="00C06315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="00A3431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C06315" w:rsidRPr="00C063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90FA8" w:rsidRPr="00C06315">
                    <w:rPr>
                      <w:color w:val="000000"/>
                      <w:sz w:val="24"/>
                      <w:szCs w:val="24"/>
                    </w:rPr>
                    <w:t>не</w:t>
                  </w:r>
                  <w:r w:rsidR="00A3431C">
                    <w:rPr>
                      <w:color w:val="000000"/>
                      <w:sz w:val="24"/>
                      <w:szCs w:val="24"/>
                    </w:rPr>
                    <w:t>произведенных</w:t>
                  </w:r>
                  <w:proofErr w:type="spellEnd"/>
                  <w:r w:rsidR="00490FA8" w:rsidRPr="00C06315">
                    <w:rPr>
                      <w:color w:val="000000"/>
                      <w:sz w:val="24"/>
                      <w:szCs w:val="24"/>
                    </w:rPr>
                    <w:t xml:space="preserve"> акт</w:t>
                  </w:r>
                  <w:r w:rsidR="00490FA8">
                    <w:rPr>
                      <w:color w:val="000000"/>
                      <w:sz w:val="24"/>
                      <w:szCs w:val="24"/>
                    </w:rPr>
                    <w:t>ивов имущества казны составила 5</w:t>
                  </w:r>
                  <w:r w:rsidR="00A3431C">
                    <w:rPr>
                      <w:color w:val="000000"/>
                      <w:sz w:val="24"/>
                      <w:szCs w:val="24"/>
                    </w:rPr>
                    <w:t>64 294,52 руб.</w:t>
                  </w:r>
                </w:p>
                <w:p w:rsidR="00474793" w:rsidRPr="00474793" w:rsidRDefault="00474793" w:rsidP="0047479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 На 01.01.2024 в дебиторской задолженности </w:t>
                  </w:r>
                  <w:r w:rsidRPr="002A4112">
                    <w:rPr>
                      <w:b/>
                      <w:color w:val="000000"/>
                      <w:sz w:val="24"/>
                      <w:szCs w:val="24"/>
                    </w:rPr>
                    <w:t>(ф.0503</w:t>
                  </w:r>
                  <w:r w:rsidR="00E27C04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Pr="002A4112">
                    <w:rPr>
                      <w:b/>
                      <w:color w:val="000000"/>
                      <w:sz w:val="24"/>
                      <w:szCs w:val="24"/>
                    </w:rPr>
                    <w:t>69)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отражены следующие показатели по счетам учета:</w:t>
                  </w:r>
                </w:p>
                <w:p w:rsidR="00B05B83" w:rsidRDefault="00474793" w:rsidP="00B05B8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по финансовому обеспечению  задолженность составила </w:t>
                  </w:r>
                  <w:r w:rsidR="008D6CE4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A3431C">
                    <w:rPr>
                      <w:color w:val="000000"/>
                      <w:sz w:val="24"/>
                      <w:szCs w:val="24"/>
                    </w:rPr>
                    <w:t xml:space="preserve"> 609 740,01 </w:t>
                  </w:r>
                  <w:r w:rsidR="002A4112"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уб. Данная задолженность образована по счету 205.</w:t>
                  </w:r>
                  <w:r w:rsidR="002A4112">
                    <w:rPr>
                      <w:color w:val="000000"/>
                      <w:sz w:val="24"/>
                      <w:szCs w:val="24"/>
                    </w:rPr>
                    <w:t>51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.000. Это сумма соглашения на выделение субсидии на 2024-26гг. </w:t>
                  </w:r>
                  <w:proofErr w:type="gramStart"/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Так же в отчетности отражен остаток по счету 303.14  в сумме </w:t>
                  </w:r>
                  <w:r w:rsidR="00A3431C">
                    <w:rPr>
                      <w:color w:val="000000"/>
                      <w:sz w:val="24"/>
                      <w:szCs w:val="24"/>
                    </w:rPr>
                    <w:t>3920,68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руб. Данная задолженность – остаток  денежных средств на едином налоговом счете, по страховым взносам за декабрь 2023г в срок оплаты которых наступит 29.01.2024г</w:t>
                  </w:r>
                  <w:r w:rsidR="002A4112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Кредиторская </w:t>
                  </w:r>
                  <w:r w:rsidR="002A4112">
                    <w:rPr>
                      <w:color w:val="000000"/>
                      <w:sz w:val="24"/>
                      <w:szCs w:val="24"/>
                    </w:rPr>
                    <w:t>з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адолженность</w:t>
                  </w:r>
                  <w:r w:rsidR="002A411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4112">
                    <w:rPr>
                      <w:b/>
                      <w:color w:val="000000"/>
                      <w:sz w:val="24"/>
                      <w:szCs w:val="24"/>
                    </w:rPr>
                    <w:t>(ф.0503</w:t>
                  </w:r>
                  <w:r w:rsidR="00E27C04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Pr="002A4112">
                    <w:rPr>
                      <w:b/>
                      <w:color w:val="000000"/>
                      <w:sz w:val="24"/>
                      <w:szCs w:val="24"/>
                    </w:rPr>
                    <w:t>69)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по состоянию на 1 января 2024 года кредиторская задолженность </w:t>
                  </w:r>
                  <w:r w:rsidRPr="00A3431C">
                    <w:rPr>
                      <w:color w:val="000000"/>
                      <w:sz w:val="24"/>
                      <w:szCs w:val="24"/>
                    </w:rPr>
                    <w:t>составила  </w:t>
                  </w:r>
                  <w:r w:rsidR="00A3431C" w:rsidRPr="00A3431C">
                    <w:rPr>
                      <w:color w:val="000000"/>
                      <w:sz w:val="24"/>
                      <w:szCs w:val="24"/>
                    </w:rPr>
                    <w:t>46175,94</w:t>
                  </w:r>
                  <w:r w:rsidR="00A3431C">
                    <w:rPr>
                      <w:color w:val="000000"/>
                      <w:sz w:val="24"/>
                      <w:szCs w:val="24"/>
                    </w:rPr>
                    <w:t xml:space="preserve"> руб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. </w:t>
                  </w:r>
                  <w:r w:rsidR="00A3431C" w:rsidRPr="00A3431C">
                    <w:rPr>
                      <w:color w:val="000000"/>
                      <w:sz w:val="24"/>
                      <w:szCs w:val="24"/>
                    </w:rPr>
                    <w:t>Текущая задолженность перед ПАО «</w:t>
                  </w:r>
                  <w:proofErr w:type="spellStart"/>
                  <w:r w:rsidR="00A3431C" w:rsidRPr="00A3431C">
                    <w:rPr>
                      <w:color w:val="000000"/>
                      <w:sz w:val="24"/>
                      <w:szCs w:val="24"/>
                    </w:rPr>
                    <w:t>Ростелеком</w:t>
                  </w:r>
                  <w:proofErr w:type="spellEnd"/>
                  <w:r w:rsidR="00A3431C" w:rsidRPr="00A3431C">
                    <w:rPr>
                      <w:color w:val="000000"/>
                      <w:sz w:val="24"/>
                      <w:szCs w:val="24"/>
                    </w:rPr>
                    <w:t>» за услуги связи в</w:t>
                  </w:r>
                  <w:proofErr w:type="gramEnd"/>
                  <w:r w:rsidR="00A3431C" w:rsidRPr="00A3431C">
                    <w:rPr>
                      <w:color w:val="000000"/>
                      <w:sz w:val="24"/>
                      <w:szCs w:val="24"/>
                    </w:rPr>
                    <w:t xml:space="preserve"> декабре 23г в сумме 2397,19 руб., «</w:t>
                  </w:r>
                  <w:proofErr w:type="spellStart"/>
                  <w:r w:rsidR="00A3431C" w:rsidRPr="00A3431C">
                    <w:rPr>
                      <w:color w:val="000000"/>
                      <w:sz w:val="24"/>
                      <w:szCs w:val="24"/>
                    </w:rPr>
                    <w:t>Алтайэнергосбыт</w:t>
                  </w:r>
                  <w:proofErr w:type="spellEnd"/>
                  <w:r w:rsidR="00A3431C" w:rsidRPr="00A3431C">
                    <w:rPr>
                      <w:color w:val="000000"/>
                      <w:sz w:val="24"/>
                      <w:szCs w:val="24"/>
                    </w:rPr>
                    <w:t xml:space="preserve">» - 5327,52 </w:t>
                  </w:r>
                  <w:proofErr w:type="spellStart"/>
                  <w:r w:rsidR="00A3431C" w:rsidRPr="00A3431C"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proofErr w:type="gramStart"/>
                  <w:r w:rsidR="00A3431C" w:rsidRPr="00A3431C">
                    <w:rPr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A3431C" w:rsidRPr="00A3431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3431C">
                    <w:rPr>
                      <w:color w:val="000000"/>
                      <w:sz w:val="24"/>
                      <w:szCs w:val="24"/>
                    </w:rPr>
                    <w:t>в отчетности отражены остатки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474793">
                    <w:rPr>
                      <w:color w:val="000000"/>
                      <w:sz w:val="24"/>
                      <w:szCs w:val="24"/>
                    </w:rPr>
                    <w:t>сч</w:t>
                  </w:r>
                  <w:proofErr w:type="spellEnd"/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. 303.15 в сумме </w:t>
                  </w:r>
                  <w:r w:rsidR="00A3431C">
                    <w:rPr>
                      <w:color w:val="000000"/>
                      <w:sz w:val="24"/>
                      <w:szCs w:val="24"/>
                    </w:rPr>
                    <w:t>22524,18 руб.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  </w:t>
                  </w:r>
                </w:p>
                <w:p w:rsidR="00A3431C" w:rsidRPr="00474793" w:rsidRDefault="00A3431C" w:rsidP="00B05B8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992C16" w:rsidRDefault="00474793" w:rsidP="00FD637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74793">
                    <w:rPr>
                      <w:color w:val="000000"/>
                      <w:sz w:val="24"/>
                      <w:szCs w:val="24"/>
                    </w:rPr>
                    <w:t>По состоянию на 01.01.2024 остаток денежных средств на лицевых счетах учреждения составил  </w:t>
                  </w:r>
                  <w:r w:rsidR="00A3431C" w:rsidRPr="00A3431C">
                    <w:rPr>
                      <w:color w:val="000000"/>
                      <w:sz w:val="24"/>
                      <w:szCs w:val="24"/>
                    </w:rPr>
                    <w:t>170913,76</w:t>
                  </w:r>
                  <w:r w:rsidR="00A3431C">
                    <w:rPr>
                      <w:rFonts w:ascii="Segoe UI" w:hAnsi="Segoe UI" w:cs="Segoe UI"/>
                      <w:color w:val="000000"/>
                    </w:rPr>
                    <w:t xml:space="preserve"> 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руб. (</w:t>
                  </w:r>
                  <w:r w:rsidRPr="00FD6378">
                    <w:rPr>
                      <w:b/>
                      <w:color w:val="000000"/>
                      <w:sz w:val="24"/>
                      <w:szCs w:val="24"/>
                    </w:rPr>
                    <w:t>ф.0503</w:t>
                  </w:r>
                  <w:r w:rsidR="00FD6378" w:rsidRPr="00FD6378">
                    <w:rPr>
                      <w:b/>
                      <w:color w:val="000000"/>
                      <w:sz w:val="24"/>
                      <w:szCs w:val="24"/>
                    </w:rPr>
                    <w:t>178_1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«Сведения об остатках денежных средств </w:t>
                  </w:r>
                  <w:r w:rsidR="00FD6378">
                    <w:rPr>
                      <w:color w:val="000000"/>
                      <w:sz w:val="24"/>
                      <w:szCs w:val="24"/>
                    </w:rPr>
                    <w:t>на счетах</w:t>
                  </w:r>
                  <w:r w:rsidRPr="00474793">
                    <w:rPr>
                      <w:color w:val="000000"/>
                      <w:sz w:val="24"/>
                      <w:szCs w:val="24"/>
                    </w:rPr>
                    <w:t>»</w:t>
                  </w:r>
                  <w:proofErr w:type="gramStart"/>
                  <w:r w:rsidRPr="00474793">
                    <w:rPr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="00FD637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5A0E80" w:rsidRPr="00992C16" w:rsidRDefault="005A0E80" w:rsidP="00A3431C">
                  <w:pPr>
                    <w:pStyle w:val="ab"/>
                    <w:shd w:val="clear" w:color="auto" w:fill="FFFFFF"/>
                    <w:rPr>
                      <w:color w:val="000000"/>
                    </w:rPr>
                  </w:pPr>
                </w:p>
              </w:tc>
            </w:tr>
            <w:tr w:rsidR="00992C16" w:rsidTr="00474793">
              <w:trPr>
                <w:gridBefore w:val="2"/>
                <w:wBefore w:w="238" w:type="dxa"/>
              </w:trPr>
              <w:tc>
                <w:tcPr>
                  <w:tcW w:w="836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2C16" w:rsidRPr="00992C16" w:rsidRDefault="00992C16" w:rsidP="00B23DE8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63C8" w:rsidTr="00474793">
              <w:trPr>
                <w:gridBefore w:val="2"/>
                <w:wBefore w:w="238" w:type="dxa"/>
              </w:trPr>
              <w:tc>
                <w:tcPr>
                  <w:tcW w:w="836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Default="008F63C8" w:rsidP="0079340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Раздел 5 "Прочие вопросы деятельности учреждения"</w:t>
                  </w:r>
                </w:p>
              </w:tc>
            </w:tr>
            <w:tr w:rsidR="008F63C8" w:rsidTr="00474793">
              <w:trPr>
                <w:gridBefore w:val="2"/>
                <w:wBefore w:w="238" w:type="dxa"/>
              </w:trPr>
              <w:tc>
                <w:tcPr>
                  <w:tcW w:w="836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22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221"/>
                  </w:tblGrid>
                  <w:tr w:rsidR="008F63C8" w:rsidTr="008F63C8">
                    <w:tc>
                      <w:tcPr>
                        <w:tcW w:w="822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F63C8" w:rsidRPr="008F63C8" w:rsidRDefault="008F63C8" w:rsidP="008F63C8">
                        <w:pPr>
                          <w:ind w:firstLine="709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8F63C8">
                          <w:rPr>
                            <w:color w:val="000000"/>
                            <w:sz w:val="24"/>
                            <w:szCs w:val="24"/>
                          </w:rPr>
                          <w:t>Бухгалтерский учет государственными бюджетными и автономными учреждениями осуществляется в соответствии с Федеральным законом РФ №402-ФЗ от 06.12.2011г «О бухгалтерском учете», Приказами Минфина РФ № 209н от 29.11.2017 «Об утверждении Порядка применения классификации операций сектора государственного управления», Приказом Минфина РФ от 06.06.2019 № 85н «О Порядке формирования и применения кодов бюджетной классификации Российской Федерации, их структуре и принципах назначения», Приказом Минфина РФ</w:t>
                        </w:r>
                        <w:proofErr w:type="gramEnd"/>
                        <w:r w:rsidRPr="008F63C8">
                          <w:rPr>
                            <w:color w:val="000000"/>
                            <w:sz w:val="24"/>
                            <w:szCs w:val="24"/>
                          </w:rPr>
                          <w:t xml:space="preserve"> №</w:t>
                        </w:r>
                        <w:proofErr w:type="gramStart"/>
                        <w:r w:rsidRPr="008F63C8">
                          <w:rPr>
                            <w:color w:val="000000"/>
                            <w:sz w:val="24"/>
                            <w:szCs w:val="24"/>
                          </w:rPr>
                          <w:t xml:space="preserve">157н от 01.12.2010г «Об утверждении Единого плана счетов бухгалтерского учета для органов государственной </w:t>
                        </w:r>
                        <w:r w:rsidRPr="008F63C8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 Инструкции по его применению», Приказом Минфина РФ №174н от 16.12.2010г «Об утверждении плана счетов бухгалтерского учета бюджетных учреждений и инструкции по его применению», Приказом Минфина РФ №183н</w:t>
                        </w:r>
                        <w:proofErr w:type="gramEnd"/>
                        <w:r w:rsidRPr="008F63C8">
                          <w:rPr>
                            <w:color w:val="000000"/>
                            <w:sz w:val="24"/>
                            <w:szCs w:val="24"/>
                          </w:rPr>
                          <w:t xml:space="preserve"> от 23.12.2010г «Об утверждении </w:t>
                        </w:r>
                        <w:proofErr w:type="gramStart"/>
                        <w:r w:rsidRPr="008F63C8">
                          <w:rPr>
                            <w:color w:val="000000"/>
                            <w:sz w:val="24"/>
                            <w:szCs w:val="24"/>
                          </w:rPr>
                          <w:t>плана счетов бухгалтерского учета автономных учреждений</w:t>
                        </w:r>
                        <w:proofErr w:type="gramEnd"/>
                        <w:r w:rsidRPr="008F63C8">
                          <w:rPr>
                            <w:color w:val="000000"/>
                            <w:sz w:val="24"/>
                            <w:szCs w:val="24"/>
                          </w:rPr>
                          <w:t xml:space="preserve"> и инструкции по его применению», федеральными стандартами бухгалтерского учета для организаций государственного сектора.</w:t>
                        </w:r>
                      </w:p>
                      <w:p w:rsidR="008F63C8" w:rsidRPr="008F63C8" w:rsidRDefault="008F63C8" w:rsidP="008F63C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8F63C8">
                          <w:rPr>
                            <w:color w:val="000000"/>
                            <w:sz w:val="24"/>
                            <w:szCs w:val="24"/>
                          </w:rPr>
                          <w:t>бухгалтерская отчетность государственных бюджетных и автономных учреждений составлена в соответствии с Приказом Минфина РФ №33н от 25.03.2011г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                  </w:r>
                      </w:p>
                    </w:tc>
                  </w:tr>
                </w:tbl>
                <w:p w:rsidR="008F63C8" w:rsidRDefault="008F63C8" w:rsidP="0079340A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  <w:tr w:rsidR="008F63C8" w:rsidTr="00474793">
              <w:trPr>
                <w:gridBefore w:val="2"/>
                <w:wBefore w:w="238" w:type="dxa"/>
              </w:trPr>
              <w:tc>
                <w:tcPr>
                  <w:tcW w:w="836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992C16">
                  <w:pPr>
                    <w:spacing w:line="1" w:lineRule="auto"/>
                    <w:ind w:firstLine="709"/>
                    <w:rPr>
                      <w:sz w:val="24"/>
                      <w:szCs w:val="24"/>
                    </w:rPr>
                  </w:pPr>
                </w:p>
              </w:tc>
            </w:tr>
            <w:tr w:rsidR="008F63C8" w:rsidTr="00474793">
              <w:trPr>
                <w:gridBefore w:val="2"/>
                <w:wBefore w:w="238" w:type="dxa"/>
                <w:trHeight w:val="35"/>
              </w:trPr>
              <w:tc>
                <w:tcPr>
                  <w:tcW w:w="8363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992C16">
                  <w:pPr>
                    <w:spacing w:line="1" w:lineRule="auto"/>
                    <w:ind w:firstLine="709"/>
                    <w:rPr>
                      <w:sz w:val="24"/>
                      <w:szCs w:val="24"/>
                    </w:rPr>
                  </w:pPr>
                </w:p>
              </w:tc>
            </w:tr>
            <w:tr w:rsidR="008F63C8" w:rsidTr="00474793">
              <w:trPr>
                <w:gridBefore w:val="2"/>
                <w:wBefore w:w="238" w:type="dxa"/>
              </w:trPr>
              <w:tc>
                <w:tcPr>
                  <w:tcW w:w="836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992C16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63C8" w:rsidTr="00992C16">
              <w:tc>
                <w:tcPr>
                  <w:tcW w:w="8601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992C16">
                  <w:pPr>
                    <w:spacing w:line="1" w:lineRule="auto"/>
                    <w:ind w:firstLine="709"/>
                    <w:rPr>
                      <w:sz w:val="24"/>
                      <w:szCs w:val="24"/>
                    </w:rPr>
                  </w:pPr>
                </w:p>
              </w:tc>
            </w:tr>
            <w:tr w:rsidR="008F63C8" w:rsidRPr="00992C16" w:rsidTr="008E5EC3">
              <w:trPr>
                <w:gridBefore w:val="1"/>
                <w:wBefore w:w="142" w:type="dxa"/>
                <w:trHeight w:val="65"/>
              </w:trPr>
              <w:tc>
                <w:tcPr>
                  <w:tcW w:w="8459" w:type="dxa"/>
                  <w:gridSpan w:val="2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544110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63C8" w:rsidRPr="00992C16" w:rsidTr="00544110">
              <w:trPr>
                <w:gridBefore w:val="1"/>
                <w:wBefore w:w="142" w:type="dxa"/>
              </w:trPr>
              <w:tc>
                <w:tcPr>
                  <w:tcW w:w="8459" w:type="dxa"/>
                  <w:gridSpan w:val="2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544110">
                  <w:pPr>
                    <w:spacing w:line="1" w:lineRule="auto"/>
                    <w:ind w:firstLine="709"/>
                    <w:rPr>
                      <w:sz w:val="24"/>
                      <w:szCs w:val="24"/>
                    </w:rPr>
                  </w:pPr>
                </w:p>
              </w:tc>
            </w:tr>
            <w:tr w:rsidR="008F63C8" w:rsidRPr="00992C16" w:rsidTr="00544110">
              <w:trPr>
                <w:gridBefore w:val="1"/>
                <w:wBefore w:w="142" w:type="dxa"/>
              </w:trPr>
              <w:tc>
                <w:tcPr>
                  <w:tcW w:w="8459" w:type="dxa"/>
                  <w:gridSpan w:val="2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544110">
                  <w:pPr>
                    <w:spacing w:line="1" w:lineRule="auto"/>
                    <w:ind w:firstLine="709"/>
                    <w:rPr>
                      <w:sz w:val="24"/>
                      <w:szCs w:val="24"/>
                    </w:rPr>
                  </w:pPr>
                </w:p>
              </w:tc>
            </w:tr>
            <w:tr w:rsidR="008F63C8" w:rsidRPr="00992C16" w:rsidTr="00544110">
              <w:trPr>
                <w:gridBefore w:val="1"/>
                <w:wBefore w:w="142" w:type="dxa"/>
                <w:trHeight w:val="35"/>
              </w:trPr>
              <w:tc>
                <w:tcPr>
                  <w:tcW w:w="8459" w:type="dxa"/>
                  <w:gridSpan w:val="2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544110">
                  <w:pPr>
                    <w:spacing w:line="1" w:lineRule="auto"/>
                    <w:ind w:firstLine="709"/>
                    <w:rPr>
                      <w:sz w:val="24"/>
                      <w:szCs w:val="24"/>
                    </w:rPr>
                  </w:pPr>
                </w:p>
              </w:tc>
            </w:tr>
            <w:tr w:rsidR="008F63C8" w:rsidRPr="00992C16" w:rsidTr="00544110">
              <w:trPr>
                <w:gridBefore w:val="1"/>
                <w:wBefore w:w="142" w:type="dxa"/>
              </w:trPr>
              <w:tc>
                <w:tcPr>
                  <w:tcW w:w="8459" w:type="dxa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63C8" w:rsidRPr="00992C16" w:rsidRDefault="008F63C8" w:rsidP="00544110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24E76" w:rsidRPr="009D1FDC" w:rsidRDefault="0070280B" w:rsidP="0070280B">
            <w:pPr>
              <w:tabs>
                <w:tab w:val="left" w:pos="5397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 w:rsidR="00E02DBA" w:rsidRPr="009D1FDC">
              <w:rPr>
                <w:color w:val="000000"/>
                <w:sz w:val="24"/>
                <w:szCs w:val="24"/>
              </w:rPr>
              <w:tab/>
            </w:r>
            <w:r w:rsidR="00E02DBA" w:rsidRPr="009D1FDC">
              <w:rPr>
                <w:color w:val="000000"/>
                <w:sz w:val="24"/>
                <w:szCs w:val="24"/>
              </w:rPr>
              <w:tab/>
            </w:r>
            <w:r w:rsidR="00E02DBA" w:rsidRPr="009D1FDC">
              <w:rPr>
                <w:color w:val="000000"/>
                <w:sz w:val="24"/>
                <w:szCs w:val="24"/>
              </w:rPr>
              <w:tab/>
            </w:r>
            <w:r w:rsidR="00E02DBA" w:rsidRPr="009D1FDC">
              <w:rPr>
                <w:color w:val="000000"/>
                <w:sz w:val="24"/>
                <w:szCs w:val="24"/>
              </w:rPr>
              <w:tab/>
            </w:r>
          </w:p>
        </w:tc>
      </w:tr>
      <w:tr w:rsidR="00624E76" w:rsidRPr="00FA642B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Pr="009D1FDC" w:rsidRDefault="00624E76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624E76" w:rsidRPr="00FA642B" w:rsidTr="0070280B">
        <w:tc>
          <w:tcPr>
            <w:tcW w:w="876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Pr="00FA642B" w:rsidRDefault="00624E76" w:rsidP="007B2979">
            <w:pPr>
              <w:spacing w:line="1" w:lineRule="auto"/>
              <w:ind w:firstLine="590"/>
              <w:rPr>
                <w:sz w:val="24"/>
                <w:szCs w:val="24"/>
              </w:rPr>
            </w:pPr>
          </w:p>
        </w:tc>
      </w:tr>
      <w:tr w:rsidR="00624E76" w:rsidRPr="00FA642B" w:rsidTr="0070280B">
        <w:tc>
          <w:tcPr>
            <w:tcW w:w="8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4E76" w:rsidRPr="00FA642B" w:rsidRDefault="00624E76">
            <w:pP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05"/>
        <w:tblOverlap w:val="never"/>
        <w:tblW w:w="8159" w:type="dxa"/>
        <w:tblLayout w:type="fixed"/>
        <w:tblLook w:val="01E0"/>
      </w:tblPr>
      <w:tblGrid>
        <w:gridCol w:w="2040"/>
        <w:gridCol w:w="1133"/>
        <w:gridCol w:w="566"/>
        <w:gridCol w:w="3401"/>
        <w:gridCol w:w="453"/>
        <w:gridCol w:w="566"/>
      </w:tblGrid>
      <w:tr w:rsidR="0070280B" w:rsidRPr="00FA642B" w:rsidTr="0070280B">
        <w:trPr>
          <w:trHeight w:val="2698"/>
        </w:trPr>
        <w:tc>
          <w:tcPr>
            <w:tcW w:w="8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  <w:bookmarkStart w:id="2" w:name="__bookmark_4"/>
            <w:bookmarkStart w:id="3" w:name="__bookmark_17"/>
            <w:bookmarkEnd w:id="2"/>
            <w:bookmarkEnd w:id="3"/>
          </w:p>
        </w:tc>
      </w:tr>
      <w:tr w:rsidR="0070280B" w:rsidRPr="00FA642B" w:rsidTr="0070280B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pBdr>
                <w:top w:val="single" w:sz="6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0280B" w:rsidRPr="00FA642B" w:rsidTr="0070280B">
        <w:trPr>
          <w:trHeight w:val="1"/>
        </w:trPr>
        <w:tc>
          <w:tcPr>
            <w:tcW w:w="8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0280B" w:rsidRPr="00FA642B" w:rsidTr="0070280B">
        <w:trPr>
          <w:trHeight w:val="1"/>
        </w:trPr>
        <w:tc>
          <w:tcPr>
            <w:tcW w:w="8159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0280B" w:rsidRPr="00FA642B" w:rsidTr="0070280B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0280B" w:rsidRPr="00FA642B" w:rsidTr="0070280B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0280B" w:rsidRPr="00FA642B" w:rsidTr="0070280B">
        <w:tc>
          <w:tcPr>
            <w:tcW w:w="75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80B" w:rsidRPr="00FA642B" w:rsidRDefault="0070280B" w:rsidP="0070280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624E76" w:rsidRPr="00FA642B" w:rsidRDefault="00624E76" w:rsidP="00860BB8">
      <w:pPr>
        <w:rPr>
          <w:vanish/>
          <w:sz w:val="24"/>
          <w:szCs w:val="24"/>
        </w:rPr>
      </w:pPr>
    </w:p>
    <w:sectPr w:rsidR="00624E76" w:rsidRPr="00FA642B" w:rsidSect="00624E76">
      <w:headerReference w:type="default" r:id="rId7"/>
      <w:footerReference w:type="default" r:id="rId8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13" w:rsidRDefault="00F61713" w:rsidP="00624E76">
      <w:r>
        <w:separator/>
      </w:r>
    </w:p>
  </w:endnote>
  <w:endnote w:type="continuationSeparator" w:id="0">
    <w:p w:rsidR="00F61713" w:rsidRDefault="00F61713" w:rsidP="00624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624E76">
      <w:trPr>
        <w:trHeight w:val="56"/>
      </w:trPr>
      <w:tc>
        <w:tcPr>
          <w:tcW w:w="9571" w:type="dxa"/>
        </w:tcPr>
        <w:p w:rsidR="00624E76" w:rsidRDefault="00624E76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13" w:rsidRDefault="00F61713" w:rsidP="00624E76">
      <w:r>
        <w:separator/>
      </w:r>
    </w:p>
  </w:footnote>
  <w:footnote w:type="continuationSeparator" w:id="0">
    <w:p w:rsidR="00F61713" w:rsidRDefault="00F61713" w:rsidP="00624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624E76">
      <w:trPr>
        <w:trHeight w:val="56"/>
      </w:trPr>
      <w:tc>
        <w:tcPr>
          <w:tcW w:w="9571" w:type="dxa"/>
        </w:tcPr>
        <w:p w:rsidR="00624E76" w:rsidRDefault="00624E76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E76"/>
    <w:rsid w:val="00000EE2"/>
    <w:rsid w:val="00006E9D"/>
    <w:rsid w:val="00020184"/>
    <w:rsid w:val="0002694B"/>
    <w:rsid w:val="000548CA"/>
    <w:rsid w:val="000623A1"/>
    <w:rsid w:val="000664C9"/>
    <w:rsid w:val="00074106"/>
    <w:rsid w:val="00094ED9"/>
    <w:rsid w:val="0009532E"/>
    <w:rsid w:val="000A2B1A"/>
    <w:rsid w:val="000E02D9"/>
    <w:rsid w:val="000E178D"/>
    <w:rsid w:val="000F6796"/>
    <w:rsid w:val="00101626"/>
    <w:rsid w:val="00115FB3"/>
    <w:rsid w:val="001160F8"/>
    <w:rsid w:val="00117214"/>
    <w:rsid w:val="001222B5"/>
    <w:rsid w:val="0012317E"/>
    <w:rsid w:val="00125E79"/>
    <w:rsid w:val="00136E4B"/>
    <w:rsid w:val="00154D4F"/>
    <w:rsid w:val="00164542"/>
    <w:rsid w:val="00194284"/>
    <w:rsid w:val="00196B0D"/>
    <w:rsid w:val="001B3920"/>
    <w:rsid w:val="001B3A59"/>
    <w:rsid w:val="001C3F60"/>
    <w:rsid w:val="001C4FB1"/>
    <w:rsid w:val="001C68BE"/>
    <w:rsid w:val="001D72B8"/>
    <w:rsid w:val="001F4C53"/>
    <w:rsid w:val="002072D4"/>
    <w:rsid w:val="00217956"/>
    <w:rsid w:val="00217A1E"/>
    <w:rsid w:val="00232811"/>
    <w:rsid w:val="002440B1"/>
    <w:rsid w:val="002532A8"/>
    <w:rsid w:val="002764F2"/>
    <w:rsid w:val="0028243D"/>
    <w:rsid w:val="00293A5D"/>
    <w:rsid w:val="002A4112"/>
    <w:rsid w:val="002B180E"/>
    <w:rsid w:val="002C2294"/>
    <w:rsid w:val="002D1676"/>
    <w:rsid w:val="002D3516"/>
    <w:rsid w:val="002F0871"/>
    <w:rsid w:val="002F1826"/>
    <w:rsid w:val="002F2BDB"/>
    <w:rsid w:val="002F3D65"/>
    <w:rsid w:val="003020CA"/>
    <w:rsid w:val="00311CA7"/>
    <w:rsid w:val="0031286A"/>
    <w:rsid w:val="00332D64"/>
    <w:rsid w:val="003420D9"/>
    <w:rsid w:val="00343AC0"/>
    <w:rsid w:val="003464AD"/>
    <w:rsid w:val="0036210C"/>
    <w:rsid w:val="0036239A"/>
    <w:rsid w:val="00365704"/>
    <w:rsid w:val="00375DE1"/>
    <w:rsid w:val="00377A50"/>
    <w:rsid w:val="003820B2"/>
    <w:rsid w:val="00397E32"/>
    <w:rsid w:val="003A6DC2"/>
    <w:rsid w:val="003B53BC"/>
    <w:rsid w:val="003B6090"/>
    <w:rsid w:val="003C6AB7"/>
    <w:rsid w:val="003E51E3"/>
    <w:rsid w:val="00407ABA"/>
    <w:rsid w:val="00411931"/>
    <w:rsid w:val="00414E6E"/>
    <w:rsid w:val="0042167F"/>
    <w:rsid w:val="004358C0"/>
    <w:rsid w:val="00453FE5"/>
    <w:rsid w:val="00454131"/>
    <w:rsid w:val="00456F97"/>
    <w:rsid w:val="0046152D"/>
    <w:rsid w:val="00474793"/>
    <w:rsid w:val="00490FA8"/>
    <w:rsid w:val="004A0315"/>
    <w:rsid w:val="004B40CE"/>
    <w:rsid w:val="004C4886"/>
    <w:rsid w:val="004D069F"/>
    <w:rsid w:val="004E568D"/>
    <w:rsid w:val="004E7437"/>
    <w:rsid w:val="00514E92"/>
    <w:rsid w:val="0052438B"/>
    <w:rsid w:val="00530681"/>
    <w:rsid w:val="005416A4"/>
    <w:rsid w:val="00587DE0"/>
    <w:rsid w:val="00591460"/>
    <w:rsid w:val="005966AE"/>
    <w:rsid w:val="005A005A"/>
    <w:rsid w:val="005A0E80"/>
    <w:rsid w:val="005B753C"/>
    <w:rsid w:val="005C22A8"/>
    <w:rsid w:val="005C2586"/>
    <w:rsid w:val="005E42CE"/>
    <w:rsid w:val="005F1229"/>
    <w:rsid w:val="005F36CF"/>
    <w:rsid w:val="005F4BC2"/>
    <w:rsid w:val="005F4F60"/>
    <w:rsid w:val="00600EB0"/>
    <w:rsid w:val="006069AC"/>
    <w:rsid w:val="00620885"/>
    <w:rsid w:val="00620CEB"/>
    <w:rsid w:val="00624E76"/>
    <w:rsid w:val="00631BAE"/>
    <w:rsid w:val="00633C17"/>
    <w:rsid w:val="00633CB9"/>
    <w:rsid w:val="00637492"/>
    <w:rsid w:val="00670AA3"/>
    <w:rsid w:val="00686E22"/>
    <w:rsid w:val="006921AC"/>
    <w:rsid w:val="00692B79"/>
    <w:rsid w:val="00692E11"/>
    <w:rsid w:val="006A2902"/>
    <w:rsid w:val="006B45BC"/>
    <w:rsid w:val="006C024B"/>
    <w:rsid w:val="006C3397"/>
    <w:rsid w:val="006C6104"/>
    <w:rsid w:val="006D2949"/>
    <w:rsid w:val="006D5AD1"/>
    <w:rsid w:val="006E4318"/>
    <w:rsid w:val="006E46E7"/>
    <w:rsid w:val="006E5FD5"/>
    <w:rsid w:val="006E6990"/>
    <w:rsid w:val="0070280B"/>
    <w:rsid w:val="00702B34"/>
    <w:rsid w:val="007228FB"/>
    <w:rsid w:val="00733300"/>
    <w:rsid w:val="00750069"/>
    <w:rsid w:val="00752200"/>
    <w:rsid w:val="007649F1"/>
    <w:rsid w:val="00772F22"/>
    <w:rsid w:val="00775139"/>
    <w:rsid w:val="007773E5"/>
    <w:rsid w:val="007827F9"/>
    <w:rsid w:val="0078352F"/>
    <w:rsid w:val="00793647"/>
    <w:rsid w:val="007B2979"/>
    <w:rsid w:val="007C45E3"/>
    <w:rsid w:val="007C549D"/>
    <w:rsid w:val="007C571C"/>
    <w:rsid w:val="007D14D1"/>
    <w:rsid w:val="007D2522"/>
    <w:rsid w:val="007E200B"/>
    <w:rsid w:val="007E6A38"/>
    <w:rsid w:val="007F0236"/>
    <w:rsid w:val="007F3576"/>
    <w:rsid w:val="007F65AD"/>
    <w:rsid w:val="00813757"/>
    <w:rsid w:val="00820F53"/>
    <w:rsid w:val="008436ED"/>
    <w:rsid w:val="0084750A"/>
    <w:rsid w:val="008546B4"/>
    <w:rsid w:val="00860BB8"/>
    <w:rsid w:val="00864364"/>
    <w:rsid w:val="00865634"/>
    <w:rsid w:val="008660FE"/>
    <w:rsid w:val="00874F2D"/>
    <w:rsid w:val="00876ED2"/>
    <w:rsid w:val="0088162B"/>
    <w:rsid w:val="00881836"/>
    <w:rsid w:val="00886A71"/>
    <w:rsid w:val="00896BD5"/>
    <w:rsid w:val="008A17C1"/>
    <w:rsid w:val="008A2062"/>
    <w:rsid w:val="008B59E4"/>
    <w:rsid w:val="008D6CE4"/>
    <w:rsid w:val="008D7637"/>
    <w:rsid w:val="008E04C4"/>
    <w:rsid w:val="008E5B34"/>
    <w:rsid w:val="008E5EC3"/>
    <w:rsid w:val="008F63C8"/>
    <w:rsid w:val="00925078"/>
    <w:rsid w:val="00930F90"/>
    <w:rsid w:val="00963907"/>
    <w:rsid w:val="00980A08"/>
    <w:rsid w:val="00992C16"/>
    <w:rsid w:val="00996959"/>
    <w:rsid w:val="009A2915"/>
    <w:rsid w:val="009A4A68"/>
    <w:rsid w:val="009B03C8"/>
    <w:rsid w:val="009B0ED4"/>
    <w:rsid w:val="009D1FDC"/>
    <w:rsid w:val="009E3893"/>
    <w:rsid w:val="009E41AB"/>
    <w:rsid w:val="009F13A8"/>
    <w:rsid w:val="00A12C94"/>
    <w:rsid w:val="00A20535"/>
    <w:rsid w:val="00A3431C"/>
    <w:rsid w:val="00A47417"/>
    <w:rsid w:val="00A551A5"/>
    <w:rsid w:val="00A84C7B"/>
    <w:rsid w:val="00A94CC6"/>
    <w:rsid w:val="00AB1055"/>
    <w:rsid w:val="00AB2372"/>
    <w:rsid w:val="00AE3D9F"/>
    <w:rsid w:val="00AF049D"/>
    <w:rsid w:val="00AF1CA3"/>
    <w:rsid w:val="00B02647"/>
    <w:rsid w:val="00B05B83"/>
    <w:rsid w:val="00B1727B"/>
    <w:rsid w:val="00B23DE8"/>
    <w:rsid w:val="00B27F4F"/>
    <w:rsid w:val="00B671EF"/>
    <w:rsid w:val="00BA6FE2"/>
    <w:rsid w:val="00BC386B"/>
    <w:rsid w:val="00BD1937"/>
    <w:rsid w:val="00BD652B"/>
    <w:rsid w:val="00BE5C79"/>
    <w:rsid w:val="00BE5C97"/>
    <w:rsid w:val="00BF1443"/>
    <w:rsid w:val="00BF1C8A"/>
    <w:rsid w:val="00BF23C1"/>
    <w:rsid w:val="00BF7C31"/>
    <w:rsid w:val="00C06315"/>
    <w:rsid w:val="00C12296"/>
    <w:rsid w:val="00C2066B"/>
    <w:rsid w:val="00C32CC8"/>
    <w:rsid w:val="00C46E5D"/>
    <w:rsid w:val="00C46FA4"/>
    <w:rsid w:val="00C544EB"/>
    <w:rsid w:val="00C561D5"/>
    <w:rsid w:val="00C61014"/>
    <w:rsid w:val="00C82E2F"/>
    <w:rsid w:val="00C94BCA"/>
    <w:rsid w:val="00CA513F"/>
    <w:rsid w:val="00CB1FC9"/>
    <w:rsid w:val="00CC2433"/>
    <w:rsid w:val="00CC25BF"/>
    <w:rsid w:val="00CD2A32"/>
    <w:rsid w:val="00CD4E9C"/>
    <w:rsid w:val="00CE3046"/>
    <w:rsid w:val="00CE443A"/>
    <w:rsid w:val="00CF7447"/>
    <w:rsid w:val="00D11D64"/>
    <w:rsid w:val="00D4588B"/>
    <w:rsid w:val="00D50FD1"/>
    <w:rsid w:val="00D510C5"/>
    <w:rsid w:val="00D61D30"/>
    <w:rsid w:val="00D75193"/>
    <w:rsid w:val="00D81EC3"/>
    <w:rsid w:val="00D8441E"/>
    <w:rsid w:val="00D956D6"/>
    <w:rsid w:val="00DC1865"/>
    <w:rsid w:val="00DC5BE7"/>
    <w:rsid w:val="00DC6FB6"/>
    <w:rsid w:val="00DE3AC1"/>
    <w:rsid w:val="00E021A5"/>
    <w:rsid w:val="00E02DBA"/>
    <w:rsid w:val="00E106B4"/>
    <w:rsid w:val="00E160BC"/>
    <w:rsid w:val="00E27C04"/>
    <w:rsid w:val="00E60F93"/>
    <w:rsid w:val="00E705F0"/>
    <w:rsid w:val="00E729FE"/>
    <w:rsid w:val="00E82D99"/>
    <w:rsid w:val="00EA1D69"/>
    <w:rsid w:val="00EC35F7"/>
    <w:rsid w:val="00EC4B9C"/>
    <w:rsid w:val="00ED4461"/>
    <w:rsid w:val="00ED4F89"/>
    <w:rsid w:val="00ED5A3F"/>
    <w:rsid w:val="00ED5F4F"/>
    <w:rsid w:val="00ED7B01"/>
    <w:rsid w:val="00EE7F5E"/>
    <w:rsid w:val="00F10308"/>
    <w:rsid w:val="00F1116C"/>
    <w:rsid w:val="00F12C71"/>
    <w:rsid w:val="00F14F99"/>
    <w:rsid w:val="00F260AA"/>
    <w:rsid w:val="00F302AF"/>
    <w:rsid w:val="00F3427E"/>
    <w:rsid w:val="00F34B3C"/>
    <w:rsid w:val="00F47B66"/>
    <w:rsid w:val="00F61713"/>
    <w:rsid w:val="00F73B35"/>
    <w:rsid w:val="00F860A3"/>
    <w:rsid w:val="00F97690"/>
    <w:rsid w:val="00FA4F52"/>
    <w:rsid w:val="00FA642B"/>
    <w:rsid w:val="00FB7E44"/>
    <w:rsid w:val="00FD6378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A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24E76"/>
    <w:rPr>
      <w:color w:val="0000FF"/>
      <w:u w:val="single"/>
    </w:rPr>
  </w:style>
  <w:style w:type="paragraph" w:styleId="a4">
    <w:name w:val="Balloon Text"/>
    <w:basedOn w:val="a"/>
    <w:link w:val="a5"/>
    <w:rsid w:val="00000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00E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128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86A"/>
  </w:style>
  <w:style w:type="paragraph" w:styleId="a8">
    <w:name w:val="footer"/>
    <w:basedOn w:val="a"/>
    <w:link w:val="a9"/>
    <w:rsid w:val="003128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286A"/>
  </w:style>
  <w:style w:type="paragraph" w:styleId="aa">
    <w:name w:val="No Spacing"/>
    <w:uiPriority w:val="1"/>
    <w:qFormat/>
    <w:rsid w:val="004C4886"/>
  </w:style>
  <w:style w:type="paragraph" w:customStyle="1" w:styleId="ConsPlusNormal">
    <w:name w:val="ConsPlusNormal"/>
    <w:rsid w:val="005F4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09532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5A0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FA31EBB97E47F1190F092DF22536D6AC23CCC0BE1C43E144BE1970AD3ER0D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alakina.mv</dc:creator>
  <cp:lastModifiedBy>Людмила</cp:lastModifiedBy>
  <cp:revision>2</cp:revision>
  <cp:lastPrinted>2024-03-19T06:25:00Z</cp:lastPrinted>
  <dcterms:created xsi:type="dcterms:W3CDTF">2024-05-02T04:29:00Z</dcterms:created>
  <dcterms:modified xsi:type="dcterms:W3CDTF">2024-05-02T04:29:00Z</dcterms:modified>
</cp:coreProperties>
</file>